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jc w:val="left"/>
        <w:textAlignment w:val="baseline"/>
        <w:rPr>
          <w:rFonts w:hint="eastAsia" w:ascii="Arial" w:hAnsi="Arial" w:cs="Arial" w:eastAsiaTheme="minorEastAsia"/>
          <w:b/>
          <w:bCs/>
          <w:snapToGrid w:val="0"/>
          <w:kern w:val="0"/>
          <w:sz w:val="28"/>
          <w:szCs w:val="28"/>
          <w:lang w:val="en-US" w:eastAsia="zh-CN"/>
        </w:rPr>
      </w:pPr>
      <w:bookmarkStart w:id="0" w:name="OLE_LINK9"/>
      <w:r>
        <w:rPr>
          <w:rFonts w:ascii="Arial" w:hAnsi="Arial" w:cs="Arial"/>
          <w:b/>
          <w:bCs/>
          <w:snapToGrid w:val="0"/>
          <w:kern w:val="0"/>
          <w:sz w:val="28"/>
          <w:szCs w:val="28"/>
        </w:rPr>
        <w:t>3GPP TSG-RAN WG2 Meeting</w:t>
      </w:r>
      <w:r>
        <w:rPr>
          <w:rFonts w:hint="eastAsia" w:ascii="Arial" w:hAnsi="Arial" w:cs="Arial"/>
          <w:b/>
          <w:bCs/>
          <w:snapToGrid w:val="0"/>
          <w:kern w:val="0"/>
          <w:sz w:val="28"/>
          <w:szCs w:val="28"/>
        </w:rPr>
        <w:t>#</w:t>
      </w:r>
      <w:r>
        <w:rPr>
          <w:rFonts w:ascii="Arial" w:hAnsi="Arial" w:cs="Arial"/>
          <w:b/>
          <w:bCs/>
          <w:snapToGrid w:val="0"/>
          <w:kern w:val="0"/>
          <w:sz w:val="28"/>
          <w:szCs w:val="28"/>
          <w:lang w:val="en-GB"/>
        </w:rPr>
        <w:t>10</w:t>
      </w:r>
      <w:r>
        <w:rPr>
          <w:rFonts w:hint="eastAsia" w:ascii="Arial" w:hAnsi="Arial" w:cs="Arial"/>
          <w:b/>
          <w:bCs/>
          <w:snapToGrid w:val="0"/>
          <w:kern w:val="0"/>
          <w:sz w:val="28"/>
          <w:szCs w:val="28"/>
          <w:lang w:val="en-US" w:eastAsia="zh-CN"/>
        </w:rPr>
        <w:t>4</w:t>
      </w:r>
      <w:r>
        <w:rPr>
          <w:rFonts w:ascii="Arial" w:hAnsi="Arial" w:cs="Arial"/>
          <w:b/>
          <w:bCs/>
          <w:snapToGrid w:val="0"/>
          <w:kern w:val="0"/>
          <w:sz w:val="28"/>
          <w:szCs w:val="28"/>
          <w:lang w:val="en-GB"/>
        </w:rPr>
        <w:tab/>
      </w:r>
      <w:r>
        <w:rPr>
          <w:rFonts w:hint="eastAsia" w:ascii="Arial" w:hAnsi="Arial" w:cs="Arial"/>
          <w:b/>
          <w:bCs/>
          <w:snapToGrid w:val="0"/>
          <w:kern w:val="0"/>
          <w:sz w:val="28"/>
          <w:szCs w:val="28"/>
          <w:lang w:val="en-GB"/>
        </w:rPr>
        <w:t xml:space="preserve">      </w:t>
      </w:r>
      <w:r>
        <w:rPr>
          <w:rFonts w:hint="eastAsia" w:ascii="Arial" w:hAnsi="Arial" w:cs="Arial"/>
          <w:b/>
          <w:bCs/>
          <w:snapToGrid w:val="0"/>
          <w:kern w:val="0"/>
          <w:sz w:val="28"/>
          <w:szCs w:val="28"/>
        </w:rPr>
        <w:t xml:space="preserve">   </w:t>
      </w:r>
      <w:r>
        <w:rPr>
          <w:rFonts w:ascii="Arial" w:hAnsi="Arial" w:cs="Arial"/>
          <w:b/>
          <w:bCs/>
          <w:snapToGrid w:val="0"/>
          <w:kern w:val="0"/>
          <w:sz w:val="28"/>
          <w:szCs w:val="28"/>
        </w:rPr>
        <w:t xml:space="preserve"> </w:t>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r>
      <w:r>
        <w:rPr>
          <w:rFonts w:hint="eastAsia" w:ascii="Arial" w:hAnsi="Arial" w:cs="Arial"/>
          <w:b/>
          <w:bCs/>
          <w:snapToGrid w:val="0"/>
          <w:kern w:val="0"/>
          <w:sz w:val="28"/>
          <w:szCs w:val="28"/>
          <w:lang w:val="en-US" w:eastAsia="zh-CN"/>
        </w:rPr>
        <w:t xml:space="preserve">    </w:t>
      </w:r>
      <w:r>
        <w:rPr>
          <w:rFonts w:hint="eastAsia" w:ascii="Arial" w:hAnsi="Arial" w:cs="Arial"/>
          <w:b/>
          <w:bCs/>
          <w:snapToGrid w:val="0"/>
          <w:kern w:val="0"/>
          <w:sz w:val="28"/>
          <w:szCs w:val="28"/>
        </w:rPr>
        <w:t>R2-1817062</w:t>
      </w:r>
    </w:p>
    <w:p>
      <w:pPr>
        <w:overflowPunct w:val="0"/>
        <w:autoSpaceDE w:val="0"/>
        <w:autoSpaceDN w:val="0"/>
        <w:adjustRightInd w:val="0"/>
        <w:snapToGrid w:val="0"/>
        <w:jc w:val="left"/>
        <w:textAlignment w:val="baseline"/>
        <w:rPr>
          <w:rFonts w:ascii="Arial" w:hAnsi="Arial" w:cs="Arial"/>
          <w:b/>
          <w:bCs/>
          <w:kern w:val="0"/>
          <w:sz w:val="28"/>
          <w:szCs w:val="28"/>
        </w:rPr>
      </w:pPr>
      <w:r>
        <w:rPr>
          <w:rFonts w:hint="eastAsia" w:ascii="Arial" w:hAnsi="Arial" w:cs="Arial"/>
          <w:b/>
          <w:bCs/>
          <w:kern w:val="0"/>
          <w:sz w:val="28"/>
          <w:szCs w:val="28"/>
          <w:lang w:val="en-US" w:eastAsia="zh-CN"/>
        </w:rPr>
        <w:t>Spokane</w:t>
      </w:r>
      <w:r>
        <w:rPr>
          <w:rFonts w:ascii="Arial" w:hAnsi="Arial" w:cs="Arial"/>
          <w:b/>
          <w:bCs/>
          <w:kern w:val="0"/>
          <w:sz w:val="28"/>
          <w:szCs w:val="28"/>
          <w:lang w:val="en-GB"/>
        </w:rPr>
        <w:t xml:space="preserve">, </w:t>
      </w:r>
      <w:r>
        <w:rPr>
          <w:rFonts w:hint="eastAsia" w:ascii="Arial" w:hAnsi="Arial" w:cs="Arial"/>
          <w:b/>
          <w:bCs/>
          <w:kern w:val="0"/>
          <w:sz w:val="28"/>
          <w:szCs w:val="28"/>
          <w:lang w:val="en-US" w:eastAsia="zh-CN"/>
        </w:rPr>
        <w:t>USA</w:t>
      </w:r>
      <w:r>
        <w:rPr>
          <w:rFonts w:ascii="Arial" w:hAnsi="Arial" w:cs="Arial"/>
          <w:b/>
          <w:bCs/>
          <w:kern w:val="0"/>
          <w:sz w:val="28"/>
          <w:szCs w:val="28"/>
          <w:lang w:val="en-GB"/>
        </w:rPr>
        <w:t xml:space="preserve">, </w:t>
      </w:r>
      <w:r>
        <w:rPr>
          <w:rFonts w:hint="eastAsia" w:ascii="Arial" w:hAnsi="Arial" w:cs="Arial"/>
          <w:b/>
          <w:bCs/>
          <w:kern w:val="0"/>
          <w:sz w:val="28"/>
          <w:szCs w:val="28"/>
          <w:lang w:val="en-US" w:eastAsia="zh-CN"/>
        </w:rPr>
        <w:t>12</w:t>
      </w:r>
      <w:r>
        <w:rPr>
          <w:rFonts w:ascii="Arial" w:hAnsi="Arial" w:cs="Arial"/>
          <w:b/>
          <w:bCs/>
          <w:kern w:val="0"/>
          <w:sz w:val="28"/>
          <w:szCs w:val="28"/>
          <w:lang w:val="en-GB"/>
        </w:rPr>
        <w:t xml:space="preserve"> – </w:t>
      </w:r>
      <w:r>
        <w:rPr>
          <w:rFonts w:hint="eastAsia" w:ascii="Arial" w:hAnsi="Arial" w:cs="Arial"/>
          <w:b/>
          <w:bCs/>
          <w:kern w:val="0"/>
          <w:sz w:val="28"/>
          <w:szCs w:val="28"/>
        </w:rPr>
        <w:t>1</w:t>
      </w:r>
      <w:r>
        <w:rPr>
          <w:rFonts w:hint="eastAsia" w:ascii="Arial" w:hAnsi="Arial" w:cs="Arial"/>
          <w:b/>
          <w:bCs/>
          <w:kern w:val="0"/>
          <w:sz w:val="28"/>
          <w:szCs w:val="28"/>
          <w:lang w:val="en-US" w:eastAsia="zh-CN"/>
        </w:rPr>
        <w:t>6</w:t>
      </w:r>
      <w:r>
        <w:rPr>
          <w:rFonts w:ascii="Arial" w:hAnsi="Arial" w:cs="Arial"/>
          <w:b/>
          <w:bCs/>
          <w:kern w:val="0"/>
          <w:sz w:val="28"/>
          <w:szCs w:val="28"/>
          <w:lang w:val="en-GB"/>
        </w:rPr>
        <w:t xml:space="preserve"> </w:t>
      </w:r>
      <w:r>
        <w:rPr>
          <w:rFonts w:hint="eastAsia" w:ascii="Arial" w:hAnsi="Arial" w:cs="Arial"/>
          <w:b/>
          <w:bCs/>
          <w:kern w:val="0"/>
          <w:sz w:val="28"/>
          <w:szCs w:val="28"/>
          <w:lang w:val="en-US" w:eastAsia="zh-CN"/>
        </w:rPr>
        <w:t>November</w:t>
      </w:r>
      <w:r>
        <w:rPr>
          <w:rFonts w:ascii="Arial" w:hAnsi="Arial" w:cs="Arial"/>
          <w:b/>
          <w:bCs/>
          <w:kern w:val="0"/>
          <w:sz w:val="28"/>
          <w:szCs w:val="28"/>
          <w:lang w:val="en-GB"/>
        </w:rPr>
        <w:t xml:space="preserve"> 2018</w:t>
      </w:r>
      <w:r>
        <w:rPr>
          <w:rFonts w:ascii="Arial" w:hAnsi="Arial" w:cs="Arial"/>
          <w:b/>
          <w:bCs/>
          <w:kern w:val="0"/>
          <w:sz w:val="28"/>
          <w:szCs w:val="28"/>
        </w:rPr>
        <w:t xml:space="preserve"> </w:t>
      </w:r>
      <w:r>
        <w:rPr>
          <w:rFonts w:ascii="Arial" w:hAnsi="Arial" w:cs="Arial"/>
          <w:b/>
          <w:bCs/>
          <w:kern w:val="0"/>
          <w:sz w:val="28"/>
          <w:szCs w:val="28"/>
          <w:lang w:val="en-GB"/>
        </w:rPr>
        <w:tab/>
      </w:r>
      <w:r>
        <w:rPr>
          <w:rFonts w:ascii="Arial" w:hAnsi="Arial" w:cs="Arial"/>
          <w:b/>
          <w:bCs/>
          <w:kern w:val="0"/>
          <w:sz w:val="28"/>
          <w:szCs w:val="28"/>
          <w:lang w:val="en-GB"/>
        </w:rPr>
        <w:tab/>
      </w:r>
      <w:r>
        <w:rPr>
          <w:rFonts w:ascii="Arial" w:hAnsi="Arial" w:cs="Arial"/>
          <w:b/>
          <w:bCs/>
          <w:kern w:val="0"/>
          <w:sz w:val="28"/>
          <w:szCs w:val="28"/>
          <w:lang w:val="en-GB"/>
        </w:rPr>
        <w:t xml:space="preserve">  </w:t>
      </w:r>
      <w:r>
        <w:rPr>
          <w:rFonts w:ascii="Arial" w:hAnsi="Arial" w:cs="Arial"/>
          <w:b/>
          <w:bCs/>
          <w:kern w:val="0"/>
          <w:sz w:val="28"/>
          <w:szCs w:val="28"/>
          <w:lang w:val="en-GB"/>
        </w:rPr>
        <w:tab/>
      </w:r>
      <w:r>
        <w:rPr>
          <w:rFonts w:ascii="Arial" w:hAnsi="Arial" w:cs="Arial"/>
          <w:b/>
          <w:bCs/>
          <w:kern w:val="0"/>
          <w:sz w:val="28"/>
          <w:szCs w:val="28"/>
          <w:lang w:val="en-GB"/>
        </w:rPr>
        <w:t xml:space="preserve"> </w:t>
      </w:r>
      <w:r>
        <w:rPr>
          <w:rFonts w:ascii="Arial" w:hAnsi="Arial" w:cs="Arial"/>
          <w:b/>
          <w:bCs/>
          <w:kern w:val="0"/>
          <w:sz w:val="28"/>
          <w:szCs w:val="28"/>
          <w:lang w:val="en-GB"/>
        </w:rPr>
        <w:tab/>
      </w:r>
      <w:r>
        <w:rPr>
          <w:rFonts w:ascii="Arial" w:hAnsi="Arial" w:cs="Arial"/>
          <w:b/>
          <w:bCs/>
          <w:kern w:val="0"/>
          <w:sz w:val="28"/>
          <w:szCs w:val="28"/>
          <w:lang w:val="en-GB"/>
        </w:rPr>
        <w:t xml:space="preserve">    </w:t>
      </w:r>
    </w:p>
    <w:p>
      <w:pPr>
        <w:overflowPunct w:val="0"/>
        <w:autoSpaceDE w:val="0"/>
        <w:autoSpaceDN w:val="0"/>
        <w:adjustRightInd w:val="0"/>
        <w:snapToGrid w:val="0"/>
        <w:jc w:val="left"/>
        <w:textAlignment w:val="baseline"/>
        <w:rPr>
          <w:rFonts w:ascii="Arial" w:hAnsi="Arial" w:cs="Arial"/>
          <w:b/>
          <w:bCs/>
          <w:kern w:val="0"/>
          <w:sz w:val="28"/>
          <w:szCs w:val="28"/>
        </w:rPr>
      </w:pPr>
      <w:r>
        <w:rPr>
          <w:rFonts w:ascii="Arial" w:hAnsi="Arial" w:cs="Arial"/>
          <w:b/>
          <w:bCs/>
          <w:kern w:val="0"/>
          <w:sz w:val="28"/>
          <w:szCs w:val="28"/>
          <w:lang w:val="en-GB"/>
        </w:rPr>
        <w:t xml:space="preserve"> </w:t>
      </w:r>
    </w:p>
    <w:p>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 xml:space="preserve">Source: </w:t>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ZTE Corporation</w:t>
      </w:r>
      <w:r>
        <w:rPr>
          <w:rFonts w:hint="eastAsia" w:ascii="Arial" w:hAnsi="Arial" w:cs="Arial"/>
          <w:b/>
          <w:bCs/>
          <w:snapToGrid w:val="0"/>
          <w:kern w:val="0"/>
          <w:sz w:val="28"/>
          <w:szCs w:val="28"/>
        </w:rPr>
        <w:t>, Sanechips</w:t>
      </w:r>
    </w:p>
    <w:p>
      <w:pPr>
        <w:overflowPunct w:val="0"/>
        <w:autoSpaceDE w:val="0"/>
        <w:autoSpaceDN w:val="0"/>
        <w:adjustRightInd w:val="0"/>
        <w:snapToGrid w:val="0"/>
        <w:ind w:left="2100" w:hanging="2100"/>
        <w:jc w:val="left"/>
        <w:textAlignment w:val="baseline"/>
        <w:rPr>
          <w:rFonts w:ascii="Arial" w:hAnsi="Arial" w:cs="Arial"/>
          <w:b/>
          <w:bCs/>
          <w:snapToGrid w:val="0"/>
          <w:kern w:val="0"/>
          <w:sz w:val="28"/>
          <w:szCs w:val="28"/>
        </w:rPr>
      </w:pPr>
      <w:r>
        <w:rPr>
          <w:rFonts w:ascii="Arial" w:hAnsi="Arial" w:cs="Arial"/>
          <w:b/>
          <w:bCs/>
          <w:snapToGrid w:val="0"/>
          <w:kern w:val="0"/>
          <w:sz w:val="28"/>
          <w:szCs w:val="28"/>
        </w:rPr>
        <w:t xml:space="preserve">Title: </w:t>
      </w:r>
      <w:r>
        <w:rPr>
          <w:rFonts w:ascii="Arial" w:hAnsi="Arial" w:cs="Arial"/>
          <w:b/>
          <w:bCs/>
          <w:snapToGrid w:val="0"/>
          <w:kern w:val="0"/>
          <w:sz w:val="28"/>
          <w:szCs w:val="28"/>
        </w:rPr>
        <w:tab/>
      </w:r>
      <w:r>
        <w:rPr>
          <w:rFonts w:hint="eastAsia" w:ascii="Arial" w:hAnsi="Arial" w:cs="Arial"/>
          <w:b/>
          <w:bCs/>
          <w:snapToGrid w:val="0"/>
          <w:kern w:val="0"/>
          <w:sz w:val="28"/>
          <w:szCs w:val="28"/>
        </w:rPr>
        <w:t>Consideration on the cell definition and NTN mobility</w:t>
      </w:r>
    </w:p>
    <w:p>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Agenda item:</w:t>
      </w:r>
      <w:r>
        <w:rPr>
          <w:rFonts w:ascii="Arial" w:hAnsi="Arial" w:cs="Arial"/>
          <w:b/>
          <w:bCs/>
          <w:snapToGrid w:val="0"/>
          <w:kern w:val="0"/>
          <w:sz w:val="28"/>
          <w:szCs w:val="28"/>
        </w:rPr>
        <w:tab/>
      </w:r>
      <w:bookmarkStart w:id="1" w:name="Source"/>
      <w:bookmarkEnd w:id="1"/>
      <w:r>
        <w:rPr>
          <w:rFonts w:hint="eastAsia" w:ascii="Arial" w:hAnsi="Arial" w:cs="Arial"/>
          <w:b/>
          <w:bCs/>
          <w:snapToGrid w:val="0"/>
          <w:kern w:val="0"/>
          <w:sz w:val="28"/>
          <w:szCs w:val="28"/>
        </w:rPr>
        <w:t>11.6.4.1</w:t>
      </w:r>
      <w:r>
        <w:rPr>
          <w:rFonts w:hint="eastAsia" w:ascii="Arial" w:hAnsi="Arial" w:cs="Arial"/>
          <w:b/>
          <w:bCs/>
          <w:snapToGrid w:val="0"/>
          <w:kern w:val="0"/>
          <w:sz w:val="28"/>
          <w:szCs w:val="28"/>
        </w:rPr>
        <w:tab/>
      </w:r>
    </w:p>
    <w:p>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Document for:</w:t>
      </w:r>
      <w:bookmarkStart w:id="2" w:name="DocumentFor"/>
      <w:bookmarkEnd w:id="2"/>
      <w:r>
        <w:rPr>
          <w:rFonts w:hint="eastAsia" w:ascii="Arial" w:hAnsi="Arial" w:cs="Arial"/>
          <w:b/>
          <w:bCs/>
          <w:snapToGrid w:val="0"/>
          <w:kern w:val="0"/>
          <w:sz w:val="28"/>
          <w:szCs w:val="28"/>
        </w:rPr>
        <w:t xml:space="preserve"> </w:t>
      </w:r>
      <w:r>
        <w:rPr>
          <w:rFonts w:ascii="Arial" w:hAnsi="Arial" w:cs="Arial"/>
          <w:b/>
          <w:bCs/>
          <w:snapToGrid w:val="0"/>
          <w:kern w:val="0"/>
          <w:sz w:val="28"/>
          <w:szCs w:val="28"/>
        </w:rPr>
        <w:tab/>
      </w:r>
      <w:r>
        <w:rPr>
          <w:rFonts w:ascii="Arial" w:hAnsi="Arial" w:cs="Arial"/>
          <w:b/>
          <w:bCs/>
          <w:snapToGrid w:val="0"/>
          <w:kern w:val="0"/>
          <w:sz w:val="28"/>
          <w:szCs w:val="28"/>
        </w:rPr>
        <w:t>Discussion</w:t>
      </w:r>
      <w:r>
        <w:rPr>
          <w:rFonts w:hint="eastAsia" w:ascii="Arial" w:hAnsi="Arial" w:cs="Arial"/>
          <w:b/>
          <w:bCs/>
          <w:snapToGrid w:val="0"/>
          <w:kern w:val="0"/>
          <w:sz w:val="28"/>
          <w:szCs w:val="28"/>
        </w:rPr>
        <w:t xml:space="preserve">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bookmarkEnd w:id="0"/>
    <w:p>
      <w:pPr>
        <w:rPr>
          <w:rFonts w:hint="eastAsia" w:eastAsiaTheme="minorEastAsia"/>
          <w:lang w:val="en-US" w:eastAsia="zh-CN"/>
        </w:rPr>
      </w:pPr>
      <w:r>
        <w:rPr>
          <w:rFonts w:hint="eastAsia"/>
          <w:lang w:val="en-US" w:eastAsia="zh-CN"/>
        </w:rPr>
        <w:t>The discussion on cell definition and mobility in NTN was kicked off at RAN2#103bis meeting. Specially, Thales mentioned the case two satellite beams covering the same geographical area for LEO earth fixed beam. In this paper, we analyze and propose some suggestion on cell definition for this case. In addition, we share some consideration and understanding about the mobility handling in NTN for IDLE and CONNECTED states and propose possible solutions to avoid the negative impacts caused by the long propagation delay during handover procedure.</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lang w:val="en-US" w:eastAsia="zh-CN"/>
        </w:rPr>
        <w:t>Discussion</w:t>
      </w:r>
    </w:p>
    <w:p>
      <w:pPr>
        <w:pStyle w:val="3"/>
        <w:numPr>
          <w:ilvl w:val="1"/>
          <w:numId w:val="0"/>
        </w:numPr>
        <w:tabs>
          <w:tab w:val="clear" w:pos="575"/>
        </w:tabs>
        <w:ind w:leftChars="0"/>
      </w:pPr>
      <w:r>
        <w:rPr>
          <w:rFonts w:hint="eastAsia"/>
          <w:lang w:val="en-US" w:eastAsia="zh-CN"/>
        </w:rPr>
        <w:t>2.1.Definition of cell in</w:t>
      </w:r>
      <w:r>
        <w:rPr>
          <w:rFonts w:hint="eastAsia"/>
        </w:rPr>
        <w:t xml:space="preserve"> </w:t>
      </w:r>
      <w:r>
        <w:rPr>
          <w:rFonts w:hint="eastAsia"/>
          <w:lang w:val="en-US" w:eastAsia="zh-CN"/>
        </w:rPr>
        <w:t>NTN</w:t>
      </w:r>
    </w:p>
    <w:p>
      <w:pPr>
        <w:rPr>
          <w:rFonts w:hint="eastAsia"/>
          <w:lang w:val="en-US" w:eastAsia="zh-CN"/>
        </w:rPr>
      </w:pPr>
      <w:r>
        <w:rPr>
          <w:rFonts w:hint="eastAsia"/>
          <w:lang w:val="en-US" w:eastAsia="zh-CN"/>
        </w:rPr>
        <w:t>In the latest TR 38.321[1], we have the following descriptions:</w:t>
      </w:r>
    </w:p>
    <w:tbl>
      <w:tblPr>
        <w:tblStyle w:val="64"/>
        <w:tblW w:w="98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3883"/>
        <w:gridCol w:w="31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835" w:type="dxa"/>
            <w:noWrap w:val="0"/>
            <w:vAlign w:val="center"/>
          </w:tcPr>
          <w:p>
            <w:pPr>
              <w:spacing w:after="0"/>
              <w:rPr>
                <w:rFonts w:eastAsia="Calibri"/>
              </w:rPr>
            </w:pPr>
            <w:r>
              <w:rPr>
                <w:rFonts w:eastAsia="Calibri"/>
              </w:rPr>
              <w:t>Earth-fixed beams</w:t>
            </w:r>
          </w:p>
        </w:tc>
        <w:tc>
          <w:tcPr>
            <w:tcW w:w="3883" w:type="dxa"/>
            <w:noWrap w:val="0"/>
            <w:vAlign w:val="center"/>
          </w:tcPr>
          <w:p>
            <w:pPr>
              <w:spacing w:after="0"/>
              <w:rPr>
                <w:rFonts w:eastAsia="Calibri"/>
              </w:rPr>
            </w:pPr>
            <w:r>
              <w:rPr>
                <w:rFonts w:eastAsia="Calibri"/>
              </w:rPr>
              <w:t>Yes</w:t>
            </w:r>
          </w:p>
        </w:tc>
        <w:tc>
          <w:tcPr>
            <w:tcW w:w="3139" w:type="dxa"/>
            <w:noWrap w:val="0"/>
            <w:vAlign w:val="center"/>
          </w:tcPr>
          <w:p>
            <w:pPr>
              <w:spacing w:after="0"/>
              <w:rPr>
                <w:rFonts w:eastAsia="Calibri"/>
              </w:rPr>
            </w:pPr>
            <w:r>
              <w:rPr>
                <w:rFonts w:eastAsia="Calibri"/>
              </w:rPr>
              <w:t>Scenario C1: Yes (steerable beams), see note 1</w:t>
            </w:r>
          </w:p>
          <w:p>
            <w:pPr>
              <w:spacing w:after="0"/>
              <w:rPr>
                <w:rFonts w:eastAsia="Calibri"/>
              </w:rPr>
            </w:pPr>
            <w:r>
              <w:rPr>
                <w:rFonts w:eastAsia="Calibri"/>
              </w:rPr>
              <w:t>Scenario C2: No (the beams move with the satellite)</w:t>
            </w:r>
          </w:p>
          <w:p>
            <w:pPr>
              <w:spacing w:after="0"/>
              <w:rPr>
                <w:rFonts w:eastAsia="Calibri"/>
              </w:rPr>
            </w:pPr>
            <w:r>
              <w:rPr>
                <w:rFonts w:eastAsia="Calibri"/>
              </w:rPr>
              <w:t>Scenario D 1: Yes (steerable beams), see note 1</w:t>
            </w:r>
          </w:p>
          <w:p>
            <w:pPr>
              <w:spacing w:after="0"/>
              <w:rPr>
                <w:rFonts w:eastAsia="Calibri"/>
              </w:rPr>
            </w:pPr>
            <w:r>
              <w:rPr>
                <w:rFonts w:eastAsia="Calibri"/>
              </w:rPr>
              <w:t>Scenario D 2: No (the beams move with the satellite)</w:t>
            </w:r>
          </w:p>
        </w:tc>
      </w:tr>
    </w:tbl>
    <w:p>
      <w:pPr>
        <w:numPr>
          <w:ilvl w:val="0"/>
          <w:numId w:val="0"/>
        </w:numPr>
        <w:tabs>
          <w:tab w:val="left" w:pos="840"/>
        </w:tabs>
        <w:ind w:leftChars="0"/>
        <w:rPr>
          <w:rFonts w:hint="eastAsia" w:ascii="Arial" w:hAnsi="Arial" w:cs="Arial" w:eastAsiaTheme="minorEastAsia"/>
          <w:kern w:val="0"/>
          <w:sz w:val="18"/>
          <w:szCs w:val="20"/>
          <w:lang w:val="en-US" w:eastAsia="zh-CN" w:bidi="ar-SA"/>
        </w:rPr>
      </w:pPr>
      <w:r>
        <w:rPr>
          <w:rFonts w:hint="eastAsia" w:ascii="Arial" w:hAnsi="Arial" w:eastAsia="宋体" w:cs="Arial"/>
          <w:kern w:val="0"/>
          <w:sz w:val="18"/>
          <w:szCs w:val="20"/>
          <w:lang w:val="en-US" w:eastAsia="zh-CN" w:bidi="ar-SA"/>
        </w:rPr>
        <w:t xml:space="preserve">Based on the such descriptions, it can be observed that both the </w:t>
      </w:r>
      <w:r>
        <w:rPr>
          <w:rFonts w:hint="default"/>
          <w:lang w:val="en-US" w:eastAsia="zh-CN"/>
        </w:rPr>
        <w:t>“</w:t>
      </w:r>
      <w:r>
        <w:rPr>
          <w:rFonts w:hint="eastAsia"/>
        </w:rPr>
        <w:t>Earth-fixed beams</w:t>
      </w:r>
      <w:r>
        <w:rPr>
          <w:rFonts w:hint="default"/>
          <w:lang w:val="en-US" w:eastAsia="zh-CN"/>
        </w:rPr>
        <w:t>”</w:t>
      </w:r>
      <w:r>
        <w:rPr>
          <w:rFonts w:hint="eastAsia"/>
          <w:lang w:val="en-US" w:eastAsia="zh-CN"/>
        </w:rPr>
        <w:t xml:space="preserve"> and </w:t>
      </w:r>
      <w:r>
        <w:rPr>
          <w:rFonts w:hint="default"/>
          <w:lang w:val="en-US" w:eastAsia="zh-CN"/>
        </w:rPr>
        <w:t>“</w:t>
      </w:r>
      <w:r>
        <w:rPr>
          <w:rFonts w:hint="eastAsia"/>
          <w:lang w:val="en-US" w:eastAsia="zh-CN"/>
        </w:rPr>
        <w:t>Moving beam</w:t>
      </w:r>
      <w:r>
        <w:rPr>
          <w:rFonts w:hint="default"/>
          <w:lang w:val="en-US" w:eastAsia="zh-CN"/>
        </w:rPr>
        <w:t>”</w:t>
      </w:r>
      <w:r>
        <w:rPr>
          <w:rFonts w:hint="eastAsia"/>
          <w:lang w:val="en-US" w:eastAsia="zh-CN"/>
        </w:rPr>
        <w:t xml:space="preserve"> can be used by </w:t>
      </w:r>
      <w:r>
        <w:rPr>
          <w:lang w:val="en-US"/>
        </w:rPr>
        <w:t>satellit</w:t>
      </w:r>
      <w:r>
        <w:rPr>
          <w:rFonts w:hint="eastAsia"/>
          <w:lang w:val="en-US" w:eastAsia="zh-CN"/>
        </w:rPr>
        <w:t>e:</w:t>
      </w:r>
    </w:p>
    <w:p>
      <w:pPr>
        <w:numPr>
          <w:ilvl w:val="0"/>
          <w:numId w:val="4"/>
        </w:numPr>
        <w:ind w:left="420" w:leftChars="0" w:hanging="420" w:firstLineChars="0"/>
        <w:rPr>
          <w:rFonts w:hint="eastAsia"/>
          <w:lang w:val="en-US" w:eastAsia="zh-CN"/>
        </w:rPr>
      </w:pPr>
      <w:r>
        <w:rPr>
          <w:rFonts w:hint="eastAsia"/>
          <w:lang w:val="en-US" w:eastAsia="zh-CN"/>
        </w:rPr>
        <w:t xml:space="preserve">For GEO satellites, </w:t>
      </w:r>
      <w:r>
        <w:rPr>
          <w:rFonts w:hint="default"/>
          <w:lang w:val="en-US" w:eastAsia="zh-CN"/>
        </w:rPr>
        <w:t>“</w:t>
      </w:r>
      <w:r>
        <w:rPr>
          <w:rFonts w:hint="eastAsia"/>
        </w:rPr>
        <w:t>Earth-fixed beams</w:t>
      </w:r>
      <w:r>
        <w:rPr>
          <w:rFonts w:hint="default"/>
          <w:lang w:val="en-US" w:eastAsia="zh-CN"/>
        </w:rPr>
        <w:t>”</w:t>
      </w:r>
      <w:r>
        <w:rPr>
          <w:rFonts w:hint="eastAsia"/>
          <w:lang w:val="en-US" w:eastAsia="zh-CN"/>
        </w:rPr>
        <w:t xml:space="preserve"> is always assumed</w:t>
      </w:r>
    </w:p>
    <w:p>
      <w:pPr>
        <w:numPr>
          <w:ilvl w:val="0"/>
          <w:numId w:val="4"/>
        </w:numPr>
        <w:ind w:left="420" w:leftChars="0" w:hanging="420" w:firstLineChars="0"/>
        <w:rPr>
          <w:rFonts w:hint="eastAsia"/>
          <w:lang w:val="en-US" w:eastAsia="zh-CN"/>
        </w:rPr>
      </w:pPr>
      <w:r>
        <w:rPr>
          <w:rFonts w:hint="eastAsia"/>
          <w:lang w:val="en-US" w:eastAsia="zh-CN"/>
        </w:rPr>
        <w:t xml:space="preserve">For LEO satellites, both </w:t>
      </w:r>
      <w:r>
        <w:rPr>
          <w:rFonts w:hint="default"/>
          <w:lang w:val="en-US" w:eastAsia="zh-CN"/>
        </w:rPr>
        <w:t>“</w:t>
      </w:r>
      <w:r>
        <w:rPr>
          <w:rFonts w:hint="eastAsia"/>
        </w:rPr>
        <w:t>Earth-fixed beams</w:t>
      </w:r>
      <w:r>
        <w:rPr>
          <w:rFonts w:hint="default"/>
          <w:lang w:val="en-US" w:eastAsia="zh-CN"/>
        </w:rPr>
        <w:t>”</w:t>
      </w:r>
      <w:r>
        <w:rPr>
          <w:rFonts w:hint="eastAsia"/>
          <w:lang w:val="en-US" w:eastAsia="zh-CN"/>
        </w:rPr>
        <w:t xml:space="preserve"> and </w:t>
      </w:r>
      <w:r>
        <w:rPr>
          <w:rFonts w:hint="default"/>
          <w:lang w:val="en-US" w:eastAsia="zh-CN"/>
        </w:rPr>
        <w:t>“</w:t>
      </w:r>
      <w:r>
        <w:rPr>
          <w:rFonts w:hint="eastAsia"/>
          <w:lang w:val="en-US" w:eastAsia="zh-CN"/>
        </w:rPr>
        <w:t>Moving beams</w:t>
      </w:r>
      <w:r>
        <w:rPr>
          <w:rFonts w:hint="default"/>
          <w:lang w:val="en-US" w:eastAsia="zh-CN"/>
        </w:rPr>
        <w:t>”</w:t>
      </w:r>
      <w:r>
        <w:rPr>
          <w:rFonts w:hint="eastAsia"/>
          <w:lang w:val="en-US" w:eastAsia="zh-CN"/>
        </w:rPr>
        <w:t xml:space="preserve"> are applicable</w:t>
      </w:r>
    </w:p>
    <w:p>
      <w:pPr>
        <w:numPr>
          <w:ilvl w:val="0"/>
          <w:numId w:val="0"/>
        </w:numPr>
        <w:tabs>
          <w:tab w:val="left" w:pos="840"/>
        </w:tabs>
        <w:ind w:leftChars="0"/>
        <w:rPr>
          <w:rFonts w:hint="eastAsia" w:ascii="Arial" w:hAnsi="Arial" w:eastAsia="宋体" w:cs="Arial"/>
          <w:kern w:val="0"/>
          <w:sz w:val="18"/>
          <w:szCs w:val="20"/>
          <w:lang w:val="en-US" w:eastAsia="zh-CN" w:bidi="ar-SA"/>
        </w:rPr>
      </w:pPr>
      <w:r>
        <w:rPr>
          <w:rFonts w:hint="eastAsia"/>
          <w:lang w:val="en-US" w:eastAsia="zh-CN"/>
        </w:rPr>
        <w:t xml:space="preserve">Therefore, both the </w:t>
      </w:r>
      <w:r>
        <w:rPr>
          <w:rFonts w:hint="default"/>
          <w:lang w:val="en-US" w:eastAsia="zh-CN"/>
        </w:rPr>
        <w:t>“</w:t>
      </w:r>
      <w:r>
        <w:rPr>
          <w:rFonts w:hint="eastAsia"/>
        </w:rPr>
        <w:t>Earth-fixed beams</w:t>
      </w:r>
      <w:r>
        <w:rPr>
          <w:rFonts w:hint="default"/>
          <w:lang w:val="en-US" w:eastAsia="zh-CN"/>
        </w:rPr>
        <w:t>”</w:t>
      </w:r>
      <w:r>
        <w:rPr>
          <w:rFonts w:hint="eastAsia"/>
          <w:lang w:val="en-US" w:eastAsia="zh-CN"/>
        </w:rPr>
        <w:t xml:space="preserve"> and </w:t>
      </w:r>
      <w:r>
        <w:rPr>
          <w:rFonts w:hint="default"/>
          <w:lang w:val="en-US" w:eastAsia="zh-CN"/>
        </w:rPr>
        <w:t>“</w:t>
      </w:r>
      <w:r>
        <w:rPr>
          <w:rFonts w:hint="eastAsia"/>
          <w:lang w:val="en-US" w:eastAsia="zh-CN"/>
        </w:rPr>
        <w:t>Moving beams</w:t>
      </w:r>
      <w:r>
        <w:rPr>
          <w:rFonts w:hint="default"/>
          <w:lang w:val="en-US" w:eastAsia="zh-CN"/>
        </w:rPr>
        <w:t>”</w:t>
      </w:r>
      <w:r>
        <w:rPr>
          <w:rFonts w:hint="eastAsia"/>
          <w:lang w:val="en-US" w:eastAsia="zh-CN"/>
        </w:rPr>
        <w:t xml:space="preserve"> should be taken into account in the analysis of NTN mobility.</w:t>
      </w:r>
    </w:p>
    <w:p>
      <w:pPr>
        <w:numPr>
          <w:ilvl w:val="0"/>
          <w:numId w:val="0"/>
        </w:numPr>
        <w:tabs>
          <w:tab w:val="left" w:pos="840"/>
        </w:tabs>
        <w:ind w:leftChars="0"/>
        <w:rPr>
          <w:rFonts w:hint="eastAsia"/>
          <w:lang w:val="en-US" w:eastAsia="zh-CN"/>
        </w:rPr>
      </w:pPr>
      <w:r>
        <w:rPr>
          <w:rFonts w:hint="eastAsia"/>
          <w:lang w:val="en-US" w:eastAsia="zh-CN"/>
        </w:rPr>
        <w:t xml:space="preserve">Based on the description in TR 38.821, the </w:t>
      </w:r>
      <w:r>
        <w:rPr>
          <w:rFonts w:hint="default"/>
          <w:lang w:val="en-US" w:eastAsia="zh-CN"/>
        </w:rPr>
        <w:t>“</w:t>
      </w:r>
      <w:r>
        <w:rPr>
          <w:rFonts w:hint="eastAsia"/>
        </w:rPr>
        <w:t>Earth-fixed beams</w:t>
      </w:r>
      <w:r>
        <w:rPr>
          <w:rFonts w:hint="default"/>
          <w:lang w:val="en-US" w:eastAsia="zh-CN"/>
        </w:rPr>
        <w:t>”</w:t>
      </w:r>
      <w:r>
        <w:rPr>
          <w:rFonts w:hint="eastAsia"/>
          <w:lang w:val="en-US" w:eastAsia="zh-CN"/>
        </w:rPr>
        <w:t xml:space="preserve"> means the </w:t>
      </w:r>
      <w:r>
        <w:rPr>
          <w:lang w:val="en-US"/>
        </w:rPr>
        <w:t>satellite</w:t>
      </w:r>
      <w:r>
        <w:rPr>
          <w:rFonts w:hint="eastAsia"/>
          <w:lang w:val="en-US" w:eastAsia="zh-CN"/>
        </w:rPr>
        <w:t xml:space="preserve"> </w:t>
      </w:r>
      <w:r>
        <w:rPr>
          <w:lang w:val="en-US"/>
        </w:rPr>
        <w:t>steer beams towards fixed points on earth using beam</w:t>
      </w:r>
      <w:r>
        <w:rPr>
          <w:rFonts w:hint="eastAsia"/>
          <w:lang w:val="en-US" w:eastAsia="zh-CN"/>
        </w:rPr>
        <w:t xml:space="preserve"> </w:t>
      </w:r>
      <w:r>
        <w:rPr>
          <w:lang w:val="en-US"/>
        </w:rPr>
        <w:t>forming techniques</w:t>
      </w:r>
      <w:r>
        <w:rPr>
          <w:rFonts w:hint="eastAsia"/>
          <w:lang w:val="en-US" w:eastAsia="zh-CN"/>
        </w:rPr>
        <w:t xml:space="preserve">, which </w:t>
      </w:r>
      <w:r>
        <w:rPr>
          <w:lang w:val="en-US"/>
        </w:rPr>
        <w:t>is applicable for a period of time corresponding to the visibility time of the satellite</w:t>
      </w:r>
      <w:r>
        <w:rPr>
          <w:rFonts w:hint="eastAsia"/>
          <w:lang w:val="en-US" w:eastAsia="zh-CN"/>
        </w:rPr>
        <w:t xml:space="preserve">. For the </w:t>
      </w:r>
      <w:r>
        <w:rPr>
          <w:rFonts w:hint="default"/>
          <w:lang w:val="en-US" w:eastAsia="zh-CN"/>
        </w:rPr>
        <w:t>“</w:t>
      </w:r>
      <w:r>
        <w:rPr>
          <w:rFonts w:hint="eastAsia"/>
        </w:rPr>
        <w:t>Earth-fixed beams</w:t>
      </w:r>
      <w:r>
        <w:rPr>
          <w:rFonts w:hint="default"/>
          <w:lang w:val="en-US" w:eastAsia="zh-CN"/>
        </w:rPr>
        <w:t>”</w:t>
      </w:r>
      <w:r>
        <w:rPr>
          <w:rFonts w:hint="eastAsia"/>
          <w:lang w:val="en-US" w:eastAsia="zh-CN"/>
        </w:rPr>
        <w:t xml:space="preserve">, one thing need to be discussed first is the relationship between the </w:t>
      </w:r>
      <w:r>
        <w:rPr>
          <w:rFonts w:hint="default"/>
          <w:lang w:val="en-US" w:eastAsia="zh-CN"/>
        </w:rPr>
        <w:t>“</w:t>
      </w:r>
      <w:r>
        <w:rPr>
          <w:rFonts w:hint="eastAsia"/>
        </w:rPr>
        <w:t>Earth-fixed beams</w:t>
      </w:r>
      <w:r>
        <w:rPr>
          <w:rFonts w:hint="default"/>
          <w:lang w:val="en-US" w:eastAsia="zh-CN"/>
        </w:rPr>
        <w:t>”</w:t>
      </w:r>
      <w:r>
        <w:rPr>
          <w:rFonts w:hint="eastAsia"/>
          <w:lang w:val="en-US" w:eastAsia="zh-CN"/>
        </w:rPr>
        <w:t xml:space="preserve"> and the cell. In case one area is covered by only one </w:t>
      </w:r>
      <w:r>
        <w:rPr>
          <w:rFonts w:hint="default"/>
          <w:lang w:val="en-US" w:eastAsia="zh-CN"/>
        </w:rPr>
        <w:t>“</w:t>
      </w:r>
      <w:r>
        <w:rPr>
          <w:rFonts w:hint="eastAsia"/>
        </w:rPr>
        <w:t>Earth-fixed beams</w:t>
      </w:r>
      <w:r>
        <w:rPr>
          <w:rFonts w:hint="default"/>
          <w:lang w:val="en-US" w:eastAsia="zh-CN"/>
        </w:rPr>
        <w:t>”</w:t>
      </w:r>
      <w:r>
        <w:rPr>
          <w:rFonts w:hint="eastAsia"/>
          <w:lang w:val="en-US" w:eastAsia="zh-CN"/>
        </w:rPr>
        <w:t xml:space="preserve">, it is clear that the </w:t>
      </w:r>
      <w:r>
        <w:rPr>
          <w:rFonts w:hint="default"/>
          <w:lang w:val="en-US" w:eastAsia="zh-CN"/>
        </w:rPr>
        <w:t>“</w:t>
      </w:r>
      <w:r>
        <w:rPr>
          <w:rFonts w:hint="eastAsia"/>
        </w:rPr>
        <w:t>Earth-fixed beams</w:t>
      </w:r>
      <w:r>
        <w:rPr>
          <w:rFonts w:hint="default"/>
          <w:lang w:val="en-US" w:eastAsia="zh-CN"/>
        </w:rPr>
        <w:t>”</w:t>
      </w:r>
      <w:r>
        <w:rPr>
          <w:rFonts w:hint="eastAsia"/>
          <w:lang w:val="en-US" w:eastAsia="zh-CN"/>
        </w:rPr>
        <w:t xml:space="preserve"> will be considered as one cell. However, in case one area is covered by multiple overlapped </w:t>
      </w:r>
      <w:r>
        <w:rPr>
          <w:rFonts w:hint="default"/>
          <w:lang w:val="en-US" w:eastAsia="zh-CN"/>
        </w:rPr>
        <w:t>“</w:t>
      </w:r>
      <w:r>
        <w:rPr>
          <w:rFonts w:hint="eastAsia"/>
        </w:rPr>
        <w:t>Earth-fixed beams</w:t>
      </w:r>
      <w:r>
        <w:rPr>
          <w:rFonts w:hint="default"/>
          <w:lang w:val="en-US" w:eastAsia="zh-CN"/>
        </w:rPr>
        <w:t>”</w:t>
      </w:r>
      <w:r>
        <w:rPr>
          <w:rFonts w:hint="eastAsia"/>
          <w:lang w:val="en-US" w:eastAsia="zh-CN"/>
        </w:rPr>
        <w:t xml:space="preserve"> from different satellites, it should be clarified first whether the overlapped </w:t>
      </w:r>
      <w:r>
        <w:rPr>
          <w:rFonts w:hint="default"/>
          <w:lang w:val="en-US" w:eastAsia="zh-CN"/>
        </w:rPr>
        <w:t>“</w:t>
      </w:r>
      <w:r>
        <w:rPr>
          <w:rFonts w:hint="eastAsia"/>
        </w:rPr>
        <w:t>Earth-fixed beams</w:t>
      </w:r>
      <w:r>
        <w:rPr>
          <w:rFonts w:hint="default"/>
          <w:lang w:val="en-US" w:eastAsia="zh-CN"/>
        </w:rPr>
        <w:t>”</w:t>
      </w:r>
      <w:r>
        <w:rPr>
          <w:rFonts w:hint="eastAsia"/>
          <w:lang w:val="en-US" w:eastAsia="zh-CN"/>
        </w:rPr>
        <w:t xml:space="preserve"> should be modeled as different cells or different beams(e.g. SSB) of one cell?</w:t>
      </w:r>
    </w:p>
    <w:p>
      <w:pPr>
        <w:numPr>
          <w:ilvl w:val="0"/>
          <w:numId w:val="0"/>
        </w:numPr>
        <w:tabs>
          <w:tab w:val="left" w:pos="840"/>
        </w:tabs>
        <w:ind w:leftChars="0"/>
        <w:rPr>
          <w:rFonts w:hint="eastAsia"/>
          <w:lang w:val="en-US" w:eastAsia="zh-CN"/>
        </w:rPr>
      </w:pPr>
      <w:r>
        <w:rPr>
          <w:rFonts w:hint="eastAsia"/>
          <w:lang w:val="en-US" w:eastAsia="zh-CN"/>
        </w:rPr>
        <w:object>
          <v:shape id="_x0000_i1025" o:spt="75" type="#_x0000_t75" style="height:262.15pt;width:488.65pt;" o:ole="t" filled="f" o:preferrelative="t" stroked="f" coordsize="21600,21600">
            <v:path/>
            <v:fill on="f" focussize="0,0"/>
            <v:stroke on="f"/>
            <v:imagedata r:id="rId7" o:title=""/>
            <o:lock v:ext="edit" aspectratio="f"/>
            <w10:wrap type="none"/>
            <w10:anchorlock/>
          </v:shape>
          <o:OLEObject Type="Embed" ProgID="Visio.Drawing.11" ShapeID="_x0000_i1025" DrawAspect="Content" ObjectID="_1468075725" r:id="rId6">
            <o:LockedField>false</o:LockedField>
          </o:OLEObject>
        </w:object>
      </w:r>
    </w:p>
    <w:p>
      <w:pPr>
        <w:numPr>
          <w:ilvl w:val="0"/>
          <w:numId w:val="0"/>
        </w:numPr>
        <w:tabs>
          <w:tab w:val="left" w:pos="840"/>
        </w:tabs>
        <w:ind w:leftChars="0"/>
        <w:rPr>
          <w:rFonts w:hint="eastAsia"/>
          <w:lang w:val="en-US" w:eastAsia="zh-CN"/>
        </w:rPr>
      </w:pPr>
      <w:r>
        <w:rPr>
          <w:rFonts w:hint="eastAsia"/>
          <w:lang w:val="en-US" w:eastAsia="zh-CN"/>
        </w:rPr>
        <w:t>From RAN2</w:t>
      </w:r>
      <w:r>
        <w:rPr>
          <w:rFonts w:hint="default"/>
          <w:lang w:val="en-US" w:eastAsia="zh-CN"/>
        </w:rPr>
        <w:t>’</w:t>
      </w:r>
      <w:r>
        <w:rPr>
          <w:rFonts w:hint="eastAsia"/>
          <w:lang w:val="en-US" w:eastAsia="zh-CN"/>
        </w:rPr>
        <w:t>s point of view, we see some benefits to distinguish the signals from different satellites in the following aspect:</w:t>
      </w:r>
    </w:p>
    <w:p>
      <w:pPr>
        <w:numPr>
          <w:ilvl w:val="0"/>
          <w:numId w:val="5"/>
        </w:numPr>
        <w:tabs>
          <w:tab w:val="left" w:pos="420"/>
        </w:tabs>
        <w:ind w:left="420" w:leftChars="0" w:hanging="420" w:firstLineChars="0"/>
        <w:rPr>
          <w:rFonts w:hint="eastAsia"/>
          <w:lang w:val="en-US" w:eastAsia="zh-CN"/>
        </w:rPr>
      </w:pPr>
      <w:r>
        <w:rPr>
          <w:rFonts w:hint="eastAsia"/>
          <w:lang w:val="en-US" w:eastAsia="zh-CN"/>
        </w:rPr>
        <w:t xml:space="preserve">Load balance: The load situation on different satellites may be different, at least in the case of </w:t>
      </w:r>
      <w:r>
        <w:rPr>
          <w:rFonts w:hint="default"/>
          <w:lang w:val="en-US" w:eastAsia="zh-CN"/>
        </w:rPr>
        <w:t>“</w:t>
      </w:r>
      <w:r>
        <w:rPr>
          <w:rFonts w:hint="eastAsia"/>
          <w:lang w:val="en-US" w:eastAsia="zh-CN"/>
        </w:rPr>
        <w:t>Regenerative satellite</w:t>
      </w:r>
      <w:r>
        <w:rPr>
          <w:rFonts w:hint="default"/>
          <w:lang w:val="en-US" w:eastAsia="zh-CN"/>
        </w:rPr>
        <w:t>”</w:t>
      </w:r>
      <w:r>
        <w:rPr>
          <w:rFonts w:hint="eastAsia"/>
          <w:lang w:val="en-US" w:eastAsia="zh-CN"/>
        </w:rPr>
        <w:t>, thus the UAC parameters broadcast in system information may be different.</w:t>
      </w:r>
    </w:p>
    <w:p>
      <w:pPr>
        <w:numPr>
          <w:ilvl w:val="0"/>
          <w:numId w:val="5"/>
        </w:numPr>
        <w:tabs>
          <w:tab w:val="left" w:pos="420"/>
        </w:tabs>
        <w:ind w:left="420" w:leftChars="0" w:hanging="420" w:firstLineChars="0"/>
        <w:rPr>
          <w:rFonts w:hint="eastAsia"/>
          <w:lang w:val="en-US" w:eastAsia="zh-CN"/>
        </w:rPr>
      </w:pPr>
      <w:r>
        <w:rPr>
          <w:rFonts w:hint="eastAsia"/>
          <w:lang w:val="en-US" w:eastAsia="zh-CN"/>
        </w:rPr>
        <w:t xml:space="preserve">RA resource configuration: To provide more RA resource and avoid the congestion/interference, different RA resource in time/frequency domain can be configured for different </w:t>
      </w:r>
      <w:r>
        <w:rPr>
          <w:rFonts w:hint="default"/>
          <w:lang w:val="en-US" w:eastAsia="zh-CN"/>
        </w:rPr>
        <w:t>“</w:t>
      </w:r>
      <w:r>
        <w:rPr>
          <w:rFonts w:hint="eastAsia"/>
        </w:rPr>
        <w:t>Earth-fixed beams</w:t>
      </w:r>
      <w:r>
        <w:rPr>
          <w:rFonts w:hint="default"/>
          <w:lang w:val="en-US" w:eastAsia="zh-CN"/>
        </w:rPr>
        <w:t>”</w:t>
      </w:r>
      <w:r>
        <w:rPr>
          <w:rFonts w:hint="eastAsia"/>
          <w:lang w:val="en-US" w:eastAsia="zh-CN"/>
        </w:rPr>
        <w:t>.</w:t>
      </w:r>
    </w:p>
    <w:p>
      <w:pPr>
        <w:numPr>
          <w:ilvl w:val="0"/>
          <w:numId w:val="5"/>
        </w:numPr>
        <w:tabs>
          <w:tab w:val="left" w:pos="420"/>
        </w:tabs>
        <w:ind w:left="420" w:leftChars="0" w:hanging="420" w:firstLineChars="0"/>
        <w:rPr>
          <w:rFonts w:hint="eastAsia"/>
          <w:lang w:val="en-US" w:eastAsia="zh-CN"/>
        </w:rPr>
      </w:pPr>
      <w:r>
        <w:rPr>
          <w:rFonts w:hint="eastAsia"/>
          <w:lang w:val="en-US" w:eastAsia="zh-CN"/>
        </w:rPr>
        <w:t xml:space="preserve">TA maintainence: Different </w:t>
      </w:r>
      <w:r>
        <w:rPr>
          <w:rFonts w:hint="default"/>
          <w:lang w:val="en-US" w:eastAsia="zh-CN"/>
        </w:rPr>
        <w:t>“</w:t>
      </w:r>
      <w:r>
        <w:rPr>
          <w:rFonts w:hint="eastAsia"/>
        </w:rPr>
        <w:t>Earth-fixed beams</w:t>
      </w:r>
      <w:r>
        <w:rPr>
          <w:rFonts w:hint="default"/>
          <w:lang w:val="en-US" w:eastAsia="zh-CN"/>
        </w:rPr>
        <w:t>”</w:t>
      </w:r>
      <w:r>
        <w:rPr>
          <w:rFonts w:hint="eastAsia"/>
          <w:lang w:val="en-US" w:eastAsia="zh-CN"/>
        </w:rPr>
        <w:t xml:space="preserve"> may have different TA requirement/assumption.</w:t>
      </w:r>
    </w:p>
    <w:p>
      <w:pPr>
        <w:numPr>
          <w:ilvl w:val="0"/>
          <w:numId w:val="5"/>
        </w:numPr>
        <w:tabs>
          <w:tab w:val="left" w:pos="420"/>
        </w:tabs>
        <w:ind w:left="420" w:leftChars="0" w:hanging="420" w:firstLineChars="0"/>
        <w:rPr>
          <w:rFonts w:hint="eastAsia"/>
          <w:lang w:val="en-US" w:eastAsia="zh-CN"/>
        </w:rPr>
      </w:pPr>
      <w:r>
        <w:rPr>
          <w:rFonts w:hint="eastAsia"/>
          <w:lang w:val="en-US" w:eastAsia="zh-CN"/>
        </w:rPr>
        <w:t>Positioning: For the purpose of positioning, assuming the GNSS or OTDOA similar location mechanism will be used on UE side and considering the location of satellites are different at a certain time, the UE need to distinguish the signal from different satellites.</w:t>
      </w:r>
    </w:p>
    <w:p>
      <w:pPr>
        <w:numPr>
          <w:ilvl w:val="0"/>
          <w:numId w:val="0"/>
        </w:numPr>
        <w:tabs>
          <w:tab w:val="left" w:pos="840"/>
        </w:tabs>
        <w:ind w:leftChars="0"/>
        <w:rPr>
          <w:rFonts w:hint="eastAsia"/>
          <w:lang w:val="en-US" w:eastAsia="zh-CN"/>
        </w:rPr>
      </w:pPr>
      <w:r>
        <w:rPr>
          <w:rFonts w:hint="eastAsia"/>
          <w:lang w:val="en-US" w:eastAsia="zh-CN"/>
        </w:rPr>
        <w:t xml:space="preserve">Based on the benefits identified above, we think the overlapped </w:t>
      </w:r>
      <w:r>
        <w:rPr>
          <w:rFonts w:hint="default"/>
          <w:lang w:val="en-US" w:eastAsia="zh-CN"/>
        </w:rPr>
        <w:t>“</w:t>
      </w:r>
      <w:r>
        <w:rPr>
          <w:rFonts w:hint="eastAsia"/>
        </w:rPr>
        <w:t>Earth-fixed beams</w:t>
      </w:r>
      <w:r>
        <w:rPr>
          <w:rFonts w:hint="default"/>
          <w:lang w:val="en-US" w:eastAsia="zh-CN"/>
        </w:rPr>
        <w:t>”</w:t>
      </w:r>
      <w:r>
        <w:rPr>
          <w:rFonts w:hint="eastAsia"/>
          <w:lang w:val="en-US" w:eastAsia="zh-CN"/>
        </w:rPr>
        <w:t xml:space="preserve"> from different satellites should be modeled as different cells and different PCI should be used in such </w:t>
      </w:r>
      <w:r>
        <w:rPr>
          <w:rFonts w:hint="default"/>
          <w:lang w:val="en-US" w:eastAsia="zh-CN"/>
        </w:rPr>
        <w:t>“</w:t>
      </w:r>
      <w:r>
        <w:rPr>
          <w:rFonts w:hint="eastAsia"/>
        </w:rPr>
        <w:t>Earth-fixed beams</w:t>
      </w:r>
      <w:r>
        <w:rPr>
          <w:rFonts w:hint="default"/>
          <w:lang w:val="en-US" w:eastAsia="zh-CN"/>
        </w:rPr>
        <w:t>”</w:t>
      </w:r>
      <w:r>
        <w:rPr>
          <w:rFonts w:hint="eastAsia"/>
          <w:lang w:val="en-US" w:eastAsia="zh-CN"/>
        </w:rPr>
        <w:t xml:space="preserve"> on the same frequency.</w:t>
      </w:r>
    </w:p>
    <w:p>
      <w:pPr>
        <w:numPr>
          <w:ilvl w:val="0"/>
          <w:numId w:val="0"/>
        </w:numPr>
        <w:tabs>
          <w:tab w:val="left" w:pos="840"/>
        </w:tabs>
        <w:ind w:leftChars="0"/>
        <w:rPr>
          <w:rFonts w:hint="eastAsia"/>
          <w:b/>
          <w:bCs/>
          <w:lang w:val="en-US" w:eastAsia="zh-CN"/>
        </w:rPr>
      </w:pPr>
      <w:r>
        <w:rPr>
          <w:rFonts w:hint="eastAsia"/>
          <w:b/>
          <w:bCs/>
          <w:lang w:val="en-US" w:eastAsia="zh-CN"/>
        </w:rPr>
        <w:t xml:space="preserve">Observation 1: The overlapped </w:t>
      </w:r>
      <w:r>
        <w:rPr>
          <w:rFonts w:hint="default"/>
          <w:b/>
          <w:bCs/>
          <w:lang w:val="en-US" w:eastAsia="zh-CN"/>
        </w:rPr>
        <w:t>“</w:t>
      </w:r>
      <w:r>
        <w:rPr>
          <w:rFonts w:hint="eastAsia"/>
          <w:b/>
          <w:bCs/>
          <w:lang w:val="en-US" w:eastAsia="zh-CN"/>
        </w:rPr>
        <w:t>Earth-fixed beams</w:t>
      </w:r>
      <w:r>
        <w:rPr>
          <w:rFonts w:hint="default"/>
          <w:b/>
          <w:bCs/>
          <w:lang w:val="en-US" w:eastAsia="zh-CN"/>
        </w:rPr>
        <w:t>”</w:t>
      </w:r>
      <w:r>
        <w:rPr>
          <w:rFonts w:hint="eastAsia"/>
          <w:b/>
          <w:bCs/>
          <w:lang w:val="en-US" w:eastAsia="zh-CN"/>
        </w:rPr>
        <w:t xml:space="preserve"> from different satellites should be modeled as different cells. And different PCIs should be assumed for such </w:t>
      </w:r>
      <w:r>
        <w:rPr>
          <w:rFonts w:hint="default"/>
          <w:b/>
          <w:bCs/>
          <w:lang w:val="en-US" w:eastAsia="zh-CN"/>
        </w:rPr>
        <w:t>“</w:t>
      </w:r>
      <w:r>
        <w:rPr>
          <w:rFonts w:hint="eastAsia"/>
          <w:b/>
          <w:bCs/>
          <w:lang w:val="en-US" w:eastAsia="zh-CN"/>
        </w:rPr>
        <w:t>Earth-fixed beams</w:t>
      </w:r>
      <w:r>
        <w:rPr>
          <w:rFonts w:hint="default"/>
          <w:b/>
          <w:bCs/>
          <w:lang w:val="en-US" w:eastAsia="zh-CN"/>
        </w:rPr>
        <w:t>”</w:t>
      </w:r>
      <w:r>
        <w:rPr>
          <w:rFonts w:hint="eastAsia"/>
          <w:b/>
          <w:bCs/>
          <w:lang w:val="en-US" w:eastAsia="zh-CN"/>
        </w:rPr>
        <w:t xml:space="preserve"> from different satellites on the same frequency.</w:t>
      </w:r>
    </w:p>
    <w:p>
      <w:pPr>
        <w:numPr>
          <w:ilvl w:val="0"/>
          <w:numId w:val="0"/>
        </w:numPr>
        <w:tabs>
          <w:tab w:val="left" w:pos="840"/>
        </w:tabs>
        <w:ind w:leftChars="0"/>
        <w:rPr>
          <w:rFonts w:hint="eastAsia"/>
          <w:lang w:val="en-US" w:eastAsia="zh-CN"/>
        </w:rPr>
      </w:pPr>
      <w:r>
        <w:rPr>
          <w:rFonts w:hint="eastAsia"/>
          <w:lang w:val="en-US" w:eastAsia="zh-CN"/>
        </w:rPr>
        <w:t xml:space="preserve">Similar as </w:t>
      </w:r>
      <w:r>
        <w:rPr>
          <w:rFonts w:hint="default"/>
          <w:lang w:val="en-US" w:eastAsia="zh-CN"/>
        </w:rPr>
        <w:t>“</w:t>
      </w:r>
      <w:r>
        <w:rPr>
          <w:rFonts w:hint="eastAsia"/>
          <w:lang w:val="en-US" w:eastAsia="zh-CN"/>
        </w:rPr>
        <w:t>Earth-fixed beams</w:t>
      </w:r>
      <w:r>
        <w:rPr>
          <w:rFonts w:hint="default"/>
          <w:lang w:val="en-US" w:eastAsia="zh-CN"/>
        </w:rPr>
        <w:t>”</w:t>
      </w:r>
      <w:r>
        <w:rPr>
          <w:rFonts w:hint="eastAsia"/>
          <w:lang w:val="en-US" w:eastAsia="zh-CN"/>
        </w:rPr>
        <w:t xml:space="preserve">, the benefits identified above are also applicable to the </w:t>
      </w:r>
      <w:r>
        <w:rPr>
          <w:rFonts w:hint="default"/>
          <w:lang w:val="en-US" w:eastAsia="zh-CN"/>
        </w:rPr>
        <w:t>“</w:t>
      </w:r>
      <w:r>
        <w:rPr>
          <w:rFonts w:hint="eastAsia"/>
          <w:lang w:val="en-US" w:eastAsia="zh-CN"/>
        </w:rPr>
        <w:t>Moving beams</w:t>
      </w:r>
      <w:r>
        <w:rPr>
          <w:rFonts w:hint="default"/>
          <w:lang w:val="en-US" w:eastAsia="zh-CN"/>
        </w:rPr>
        <w:t>”</w:t>
      </w:r>
      <w:r>
        <w:rPr>
          <w:rFonts w:hint="eastAsia"/>
          <w:lang w:val="en-US" w:eastAsia="zh-CN"/>
        </w:rPr>
        <w:t xml:space="preserve">, which is defined as the beams move with the satellite. In addition, since the beams is moved along with the satellites, it is more straight forward that the </w:t>
      </w:r>
      <w:r>
        <w:rPr>
          <w:rFonts w:hint="default"/>
          <w:lang w:val="en-US" w:eastAsia="zh-CN"/>
        </w:rPr>
        <w:t>“</w:t>
      </w:r>
      <w:r>
        <w:rPr>
          <w:rFonts w:hint="eastAsia"/>
          <w:lang w:val="en-US" w:eastAsia="zh-CN"/>
        </w:rPr>
        <w:t>Moving beams</w:t>
      </w:r>
      <w:r>
        <w:rPr>
          <w:rFonts w:hint="default"/>
          <w:lang w:val="en-US" w:eastAsia="zh-CN"/>
        </w:rPr>
        <w:t>”</w:t>
      </w:r>
      <w:r>
        <w:rPr>
          <w:rFonts w:hint="eastAsia"/>
          <w:lang w:val="en-US" w:eastAsia="zh-CN"/>
        </w:rPr>
        <w:t xml:space="preserve"> from different satellites should be considered as separate cell, otherwise the cell will be split by the movement of the satellites.</w:t>
      </w:r>
    </w:p>
    <w:p>
      <w:pPr>
        <w:numPr>
          <w:ilvl w:val="0"/>
          <w:numId w:val="0"/>
        </w:numPr>
        <w:tabs>
          <w:tab w:val="left" w:pos="840"/>
        </w:tabs>
        <w:ind w:leftChars="0"/>
        <w:rPr>
          <w:rFonts w:hint="eastAsia"/>
          <w:lang w:val="en-US" w:eastAsia="zh-CN"/>
        </w:rPr>
      </w:pPr>
      <w:r>
        <w:rPr>
          <w:rFonts w:hint="eastAsia"/>
          <w:lang w:val="en-US" w:eastAsia="zh-CN"/>
        </w:rPr>
        <w:t xml:space="preserve">Therefore, based on the analysis above, we propose that no matter the </w:t>
      </w:r>
      <w:r>
        <w:rPr>
          <w:rFonts w:hint="default"/>
          <w:lang w:val="en-US" w:eastAsia="zh-CN"/>
        </w:rPr>
        <w:t>“</w:t>
      </w:r>
      <w:r>
        <w:rPr>
          <w:rFonts w:hint="eastAsia"/>
          <w:lang w:val="en-US" w:eastAsia="zh-CN"/>
        </w:rPr>
        <w:t>Earth-fixed beams</w:t>
      </w:r>
      <w:r>
        <w:rPr>
          <w:rFonts w:hint="default"/>
          <w:lang w:val="en-US" w:eastAsia="zh-CN"/>
        </w:rPr>
        <w:t>”</w:t>
      </w:r>
      <w:r>
        <w:rPr>
          <w:rFonts w:hint="eastAsia"/>
          <w:lang w:val="en-US" w:eastAsia="zh-CN"/>
        </w:rPr>
        <w:t xml:space="preserve"> and </w:t>
      </w:r>
      <w:r>
        <w:rPr>
          <w:rFonts w:hint="default"/>
          <w:lang w:val="en-US" w:eastAsia="zh-CN"/>
        </w:rPr>
        <w:t>“</w:t>
      </w:r>
      <w:r>
        <w:rPr>
          <w:rFonts w:hint="eastAsia"/>
          <w:lang w:val="en-US" w:eastAsia="zh-CN"/>
        </w:rPr>
        <w:t>Moving beams</w:t>
      </w:r>
      <w:r>
        <w:rPr>
          <w:rFonts w:hint="default"/>
          <w:lang w:val="en-US" w:eastAsia="zh-CN"/>
        </w:rPr>
        <w:t>”</w:t>
      </w:r>
      <w:r>
        <w:rPr>
          <w:rFonts w:hint="eastAsia"/>
          <w:lang w:val="en-US" w:eastAsia="zh-CN"/>
        </w:rPr>
        <w:t xml:space="preserve"> are used, the satellite beams from different satellites should be modeled as different cells. And different PCIs should be assumed for such satellites beams from different satellites on the same frequency.</w:t>
      </w:r>
    </w:p>
    <w:p>
      <w:pPr>
        <w:numPr>
          <w:ilvl w:val="0"/>
          <w:numId w:val="0"/>
        </w:numPr>
        <w:tabs>
          <w:tab w:val="left" w:pos="840"/>
        </w:tabs>
        <w:ind w:leftChars="0"/>
        <w:rPr>
          <w:rFonts w:hint="eastAsia"/>
          <w:b/>
          <w:bCs/>
          <w:lang w:val="en-US" w:eastAsia="zh-CN"/>
        </w:rPr>
      </w:pPr>
      <w:r>
        <w:rPr>
          <w:rFonts w:hint="eastAsia"/>
          <w:b/>
          <w:bCs/>
          <w:lang w:val="en-US" w:eastAsia="zh-CN"/>
        </w:rPr>
        <w:t xml:space="preserve">Proposal 1: No matter the </w:t>
      </w:r>
      <w:r>
        <w:rPr>
          <w:rFonts w:hint="default"/>
          <w:b/>
          <w:bCs/>
          <w:lang w:val="en-US" w:eastAsia="zh-CN"/>
        </w:rPr>
        <w:t>“</w:t>
      </w:r>
      <w:r>
        <w:rPr>
          <w:rFonts w:hint="eastAsia"/>
          <w:b/>
          <w:bCs/>
          <w:lang w:val="en-US" w:eastAsia="zh-CN"/>
        </w:rPr>
        <w:t>Earth-fixed beams</w:t>
      </w:r>
      <w:r>
        <w:rPr>
          <w:rFonts w:hint="default"/>
          <w:b/>
          <w:bCs/>
          <w:lang w:val="en-US" w:eastAsia="zh-CN"/>
        </w:rPr>
        <w:t>”</w:t>
      </w:r>
      <w:r>
        <w:rPr>
          <w:rFonts w:hint="eastAsia"/>
          <w:b/>
          <w:bCs/>
          <w:lang w:val="en-US" w:eastAsia="zh-CN"/>
        </w:rPr>
        <w:t xml:space="preserve"> or </w:t>
      </w:r>
      <w:r>
        <w:rPr>
          <w:rFonts w:hint="default"/>
          <w:b/>
          <w:bCs/>
          <w:lang w:val="en-US" w:eastAsia="zh-CN"/>
        </w:rPr>
        <w:t>“</w:t>
      </w:r>
      <w:r>
        <w:rPr>
          <w:rFonts w:hint="eastAsia"/>
          <w:b/>
          <w:bCs/>
          <w:lang w:val="en-US" w:eastAsia="zh-CN"/>
        </w:rPr>
        <w:t>Moving beams</w:t>
      </w:r>
      <w:r>
        <w:rPr>
          <w:rFonts w:hint="default"/>
          <w:b/>
          <w:bCs/>
          <w:lang w:val="en-US" w:eastAsia="zh-CN"/>
        </w:rPr>
        <w:t>”</w:t>
      </w:r>
      <w:r>
        <w:rPr>
          <w:rFonts w:hint="eastAsia"/>
          <w:b/>
          <w:bCs/>
          <w:lang w:val="en-US" w:eastAsia="zh-CN"/>
        </w:rPr>
        <w:t xml:space="preserve"> are used, the satellite beams from different satellites should be modeled as different cells. And different PCIs should be assumed for such satellites beams from different satellites on the same frequency.</w:t>
      </w:r>
    </w:p>
    <w:p>
      <w:pPr>
        <w:numPr>
          <w:ilvl w:val="0"/>
          <w:numId w:val="0"/>
        </w:numPr>
        <w:tabs>
          <w:tab w:val="left" w:pos="840"/>
        </w:tabs>
        <w:ind w:leftChars="0"/>
        <w:rPr>
          <w:rFonts w:hint="eastAsia"/>
          <w:lang w:val="en-US" w:eastAsia="zh-CN"/>
        </w:rPr>
      </w:pPr>
      <w:r>
        <w:rPr>
          <w:rFonts w:hint="eastAsia"/>
          <w:lang w:val="en-US" w:eastAsia="zh-CN"/>
        </w:rPr>
        <w:t>During the e-mail discussion, the following issue was discussed:</w:t>
      </w:r>
    </w:p>
    <w:p>
      <w:pPr>
        <w:numPr>
          <w:ilvl w:val="0"/>
          <w:numId w:val="0"/>
        </w:numPr>
        <w:tabs>
          <w:tab w:val="left" w:pos="840"/>
        </w:tabs>
        <w:ind w:leftChars="0"/>
        <w:rPr>
          <w:rFonts w:hint="eastAsia"/>
          <w:i/>
          <w:iCs/>
          <w:lang w:val="en-US" w:eastAsia="zh-CN"/>
        </w:rPr>
      </w:pPr>
      <w:r>
        <w:rPr>
          <w:rFonts w:hint="eastAsia"/>
          <w:i/>
          <w:iCs/>
          <w:lang w:val="en-US" w:eastAsia="zh-CN"/>
        </w:rPr>
        <w:t xml:space="preserve">Whether satellite beams, satellites or satellite cells are visible from UE perspective or not e.g. in RRC signalling from RAN2 perspective? </w:t>
      </w:r>
    </w:p>
    <w:p>
      <w:pPr>
        <w:numPr>
          <w:ilvl w:val="0"/>
          <w:numId w:val="0"/>
        </w:numPr>
        <w:tabs>
          <w:tab w:val="left" w:pos="840"/>
        </w:tabs>
        <w:ind w:leftChars="0"/>
        <w:rPr>
          <w:rFonts w:hint="eastAsia"/>
          <w:lang w:val="en-US" w:eastAsia="zh-CN"/>
        </w:rPr>
      </w:pPr>
      <w:r>
        <w:rPr>
          <w:rFonts w:hint="eastAsia"/>
          <w:lang w:val="en-US" w:eastAsia="zh-CN"/>
        </w:rPr>
        <w:t>The majority proposes that satellite beams, satellites or satellite cells are not considered to be visible from UE perspective in NTN SI while we share some different understanding.</w:t>
      </w:r>
    </w:p>
    <w:p>
      <w:pPr>
        <w:numPr>
          <w:ilvl w:val="0"/>
          <w:numId w:val="0"/>
        </w:numPr>
        <w:tabs>
          <w:tab w:val="left" w:pos="840"/>
        </w:tabs>
        <w:ind w:leftChars="0"/>
        <w:rPr>
          <w:rFonts w:hint="eastAsia"/>
          <w:lang w:val="en-US" w:eastAsia="zh-CN"/>
        </w:rPr>
      </w:pPr>
      <w:r>
        <w:rPr>
          <w:rFonts w:hint="eastAsia"/>
          <w:lang w:val="en-US" w:eastAsia="zh-CN"/>
        </w:rPr>
        <w:t xml:space="preserve">First of all, we agree that the existing NR Cell, beam should be reused in the final TS. In other words, the current specified PCI, SSB, CSI-RS etc. are visible from UE perspective. </w:t>
      </w:r>
    </w:p>
    <w:p>
      <w:pPr>
        <w:numPr>
          <w:ilvl w:val="0"/>
          <w:numId w:val="0"/>
        </w:numPr>
        <w:tabs>
          <w:tab w:val="left" w:pos="840"/>
        </w:tabs>
        <w:ind w:leftChars="0"/>
        <w:rPr>
          <w:rFonts w:hint="eastAsia"/>
          <w:lang w:val="en-US" w:eastAsia="zh-CN"/>
        </w:rPr>
      </w:pPr>
      <w:r>
        <w:rPr>
          <w:rFonts w:hint="eastAsia"/>
          <w:lang w:val="en-US" w:eastAsia="zh-CN"/>
        </w:rPr>
        <w:t>However, based on the progress from RAN1, we can see some different characteristics between TN and NTN, e.g.the large Doppler shift differences and large delay in NTN etc. We see some benefits for UE to distinguish between TN and NTN, especially when UE is under coverage of both a TN cell and NTN cell, UE can choose one of them to camp for service. Thus, from this perspective, we would like the satellite cells to be visible to UE and have the following proposal about how to indicate a NTN cell.</w:t>
      </w:r>
    </w:p>
    <w:p>
      <w:pPr>
        <w:numPr>
          <w:ilvl w:val="0"/>
          <w:numId w:val="0"/>
        </w:numPr>
        <w:tabs>
          <w:tab w:val="left" w:pos="840"/>
        </w:tabs>
        <w:ind w:leftChars="0"/>
        <w:rPr>
          <w:rFonts w:hint="eastAsia"/>
          <w:b/>
          <w:bCs/>
          <w:lang w:val="en-US" w:eastAsia="zh-CN"/>
        </w:rPr>
      </w:pPr>
      <w:r>
        <w:rPr>
          <w:rFonts w:hint="eastAsia"/>
          <w:b/>
          <w:bCs/>
          <w:lang w:val="en-US" w:eastAsia="zh-CN"/>
        </w:rPr>
        <w:t>Proposal 2: An indication is introduced to identify non-terrestrial network. The indication can be delivered via RRC signaling in an implicit or explicit way:</w:t>
      </w:r>
    </w:p>
    <w:p>
      <w:pPr>
        <w:numPr>
          <w:ilvl w:val="0"/>
          <w:numId w:val="6"/>
        </w:numPr>
        <w:tabs>
          <w:tab w:val="left" w:pos="840"/>
        </w:tabs>
        <w:ind w:left="0" w:leftChars="0" w:firstLine="420" w:firstLineChars="0"/>
        <w:rPr>
          <w:rFonts w:hint="eastAsia"/>
          <w:b/>
          <w:bCs/>
          <w:lang w:val="en-US" w:eastAsia="zh-CN"/>
        </w:rPr>
      </w:pPr>
      <w:r>
        <w:rPr>
          <w:rFonts w:hint="eastAsia"/>
          <w:b/>
          <w:bCs/>
          <w:lang w:val="en-US" w:eastAsia="zh-CN"/>
        </w:rPr>
        <w:t>Implicit indication: Specific values of PLMN ID are reserved for non-terrestrial network. An MCC is allocated and assignment of MNCs are made by the Director of TSB for a satellite or non-terrestrial-network.</w:t>
      </w:r>
    </w:p>
    <w:p>
      <w:pPr>
        <w:numPr>
          <w:ilvl w:val="0"/>
          <w:numId w:val="6"/>
        </w:numPr>
        <w:tabs>
          <w:tab w:val="left" w:pos="840"/>
        </w:tabs>
        <w:ind w:left="0" w:leftChars="0" w:firstLine="420" w:firstLineChars="0"/>
        <w:rPr>
          <w:rFonts w:hint="eastAsia"/>
          <w:b/>
          <w:bCs/>
          <w:lang w:val="en-US" w:eastAsia="zh-CN"/>
        </w:rPr>
      </w:pPr>
      <w:r>
        <w:rPr>
          <w:rFonts w:hint="eastAsia"/>
          <w:b/>
          <w:bCs/>
          <w:lang w:val="en-US" w:eastAsia="zh-CN"/>
        </w:rPr>
        <w:t>Explicit indication: Add a separate IE in SIB1 to indicate non-terrestrial network.</w:t>
      </w:r>
    </w:p>
    <w:p>
      <w:pPr>
        <w:numPr>
          <w:ilvl w:val="0"/>
          <w:numId w:val="0"/>
        </w:numPr>
        <w:tabs>
          <w:tab w:val="left" w:pos="840"/>
        </w:tabs>
        <w:ind w:leftChars="0"/>
        <w:rPr>
          <w:rFonts w:hint="eastAsia"/>
          <w:b/>
          <w:bCs/>
          <w:lang w:val="en-US" w:eastAsia="zh-CN"/>
        </w:rPr>
      </w:pPr>
      <w:r>
        <w:rPr>
          <w:rFonts w:hint="eastAsia"/>
          <w:lang w:val="en-US" w:eastAsia="zh-CN"/>
        </w:rPr>
        <w:t>As mentioned above, when a UE moves from one beam spot to another, the timing advance and RA resource configuration would be different. So, we see some advantages in mobility if satellite beams are visible to UE.</w:t>
      </w:r>
      <w:r>
        <w:rPr>
          <w:rFonts w:hint="eastAsia"/>
          <w:b/>
          <w:bCs/>
          <w:lang w:val="en-US" w:eastAsia="zh-CN"/>
        </w:rPr>
        <w:t xml:space="preserve"> </w:t>
      </w:r>
    </w:p>
    <w:p>
      <w:pPr>
        <w:numPr>
          <w:ilvl w:val="0"/>
          <w:numId w:val="0"/>
        </w:numPr>
        <w:tabs>
          <w:tab w:val="left" w:pos="840"/>
        </w:tabs>
        <w:ind w:leftChars="0"/>
        <w:rPr>
          <w:rFonts w:hint="eastAsia"/>
          <w:lang w:val="en-US" w:eastAsia="zh-CN"/>
        </w:rPr>
      </w:pPr>
      <w:r>
        <w:rPr>
          <w:rFonts w:hint="eastAsia"/>
          <w:lang w:val="en-US" w:eastAsia="zh-CN"/>
        </w:rPr>
        <w:t>The issue is somehow related to the deployment options [2]:</w:t>
      </w:r>
    </w:p>
    <w:p>
      <w:pPr>
        <w:numPr>
          <w:ilvl w:val="0"/>
          <w:numId w:val="0"/>
        </w:numPr>
        <w:tabs>
          <w:tab w:val="left" w:pos="840"/>
        </w:tabs>
        <w:ind w:leftChars="0"/>
        <w:rPr>
          <w:rFonts w:hint="eastAsia"/>
          <w:lang w:val="en-US" w:eastAsia="zh-CN"/>
        </w:rPr>
      </w:pPr>
      <w:r>
        <w:rPr>
          <w:rFonts w:hint="eastAsia"/>
          <w:lang w:val="en-US" w:eastAsia="zh-CN"/>
        </w:rPr>
        <w:t xml:space="preserve">−For option b, individual satellite beams are linked with individual PCIs. So the satellite beams are of course visible to UE as a consequence.  </w:t>
      </w:r>
    </w:p>
    <w:p>
      <w:pPr>
        <w:numPr>
          <w:ilvl w:val="0"/>
          <w:numId w:val="0"/>
        </w:numPr>
        <w:tabs>
          <w:tab w:val="left" w:pos="840"/>
        </w:tabs>
        <w:ind w:leftChars="0"/>
        <w:rPr>
          <w:rFonts w:hint="eastAsia"/>
          <w:lang w:val="en-US" w:eastAsia="zh-CN"/>
        </w:rPr>
      </w:pPr>
      <w:r>
        <w:rPr>
          <w:rFonts w:hint="eastAsia"/>
          <w:lang w:val="en-US" w:eastAsia="zh-CN"/>
        </w:rPr>
        <w:t>−For option a, PCI is shared by multiple satellite beams, the UE is not able to distinguish different satellite beams based on the PCI. In this case, we suggest to introduce some satellite beam indication via system information or dedicated RRC signaling or link each satellite beam to one SSB within the NTN cell thus the satellite beam are visible to UE from the SSB index.</w:t>
      </w:r>
    </w:p>
    <w:p>
      <w:pPr>
        <w:numPr>
          <w:ilvl w:val="0"/>
          <w:numId w:val="0"/>
        </w:numPr>
        <w:tabs>
          <w:tab w:val="left" w:pos="840"/>
        </w:tabs>
        <w:ind w:leftChars="0"/>
        <w:rPr>
          <w:rFonts w:hint="eastAsia"/>
          <w:b/>
          <w:bCs/>
          <w:lang w:val="en-US" w:eastAsia="zh-CN"/>
        </w:rPr>
      </w:pPr>
      <w:r>
        <w:rPr>
          <w:rFonts w:hint="eastAsia"/>
          <w:b/>
          <w:bCs/>
          <w:lang w:val="en-US" w:eastAsia="zh-CN"/>
        </w:rPr>
        <w:t>Observation 2: In some deployments, individual satellite beams are linked to individual PCIs, the satellite beams are kind of visible to UE, which benefits the mobility.</w:t>
      </w:r>
    </w:p>
    <w:p>
      <w:pPr>
        <w:numPr>
          <w:ilvl w:val="0"/>
          <w:numId w:val="0"/>
        </w:numPr>
        <w:tabs>
          <w:tab w:val="left" w:pos="840"/>
        </w:tabs>
        <w:ind w:leftChars="0"/>
        <w:rPr>
          <w:rFonts w:hint="eastAsia"/>
          <w:b/>
          <w:bCs/>
          <w:lang w:val="en-US" w:eastAsia="zh-CN"/>
        </w:rPr>
      </w:pPr>
      <w:r>
        <w:rPr>
          <w:rFonts w:hint="eastAsia"/>
          <w:b/>
          <w:bCs/>
          <w:lang w:val="en-US" w:eastAsia="zh-CN"/>
        </w:rPr>
        <w:t>Proposal 3: In some deployments when PCI is shared by multiple satellite beams, the satellite beams are visible to UE in a implicit way or explicit way:</w:t>
      </w:r>
    </w:p>
    <w:p>
      <w:pPr>
        <w:numPr>
          <w:ilvl w:val="0"/>
          <w:numId w:val="6"/>
        </w:numPr>
        <w:tabs>
          <w:tab w:val="left" w:pos="840"/>
        </w:tabs>
        <w:ind w:left="0" w:leftChars="0" w:firstLine="420" w:firstLineChars="0"/>
        <w:rPr>
          <w:rFonts w:hint="eastAsia"/>
          <w:lang w:val="en-US" w:eastAsia="zh-CN"/>
        </w:rPr>
      </w:pPr>
      <w:r>
        <w:rPr>
          <w:rFonts w:hint="eastAsia"/>
          <w:b/>
          <w:bCs/>
          <w:lang w:val="en-US" w:eastAsia="zh-CN"/>
        </w:rPr>
        <w:t>Implicit indication: each satellite beam is linked to one SSB within the NTN cell. The satellite beam are visible to UE from the SSB index.</w:t>
      </w:r>
    </w:p>
    <w:p>
      <w:pPr>
        <w:numPr>
          <w:ilvl w:val="0"/>
          <w:numId w:val="6"/>
        </w:numPr>
        <w:tabs>
          <w:tab w:val="left" w:pos="840"/>
        </w:tabs>
        <w:ind w:left="0" w:leftChars="0" w:firstLine="420" w:firstLineChars="0"/>
        <w:rPr>
          <w:rFonts w:hint="eastAsia"/>
          <w:lang w:val="en-US" w:eastAsia="zh-CN"/>
        </w:rPr>
      </w:pPr>
      <w:r>
        <w:rPr>
          <w:rFonts w:hint="eastAsia"/>
          <w:b/>
          <w:bCs/>
          <w:lang w:val="en-US" w:eastAsia="zh-CN"/>
        </w:rPr>
        <w:t xml:space="preserve">Explicit indication: satellite beam indications are provided to UE via system information or dedicated RRC signaling. </w:t>
      </w:r>
    </w:p>
    <w:p>
      <w:pPr>
        <w:numPr>
          <w:ilvl w:val="0"/>
          <w:numId w:val="0"/>
        </w:numPr>
        <w:tabs>
          <w:tab w:val="left" w:pos="840"/>
        </w:tabs>
        <w:ind w:leftChars="0"/>
        <w:rPr>
          <w:rFonts w:hint="eastAsia"/>
          <w:lang w:val="en-US" w:eastAsia="zh-CN"/>
        </w:rPr>
      </w:pPr>
      <w:r>
        <w:rPr>
          <w:rFonts w:hint="eastAsia"/>
          <w:lang w:val="en-US" w:eastAsia="zh-CN"/>
        </w:rPr>
        <w:t>At last, regarding of whether the satellite is visible to UE, we can see some benefits for UE to know the satellite system ID and satellite ID. When multiple satellite systems are deployed and the satellites from different systems can be shared by each other, UE can derive the location or predict the target satellite according to ephemeris with the knowledge of the satellite system ID and satellite ID which benefits mobility.</w:t>
      </w:r>
    </w:p>
    <w:p>
      <w:pPr>
        <w:numPr>
          <w:ilvl w:val="0"/>
          <w:numId w:val="0"/>
        </w:numPr>
        <w:tabs>
          <w:tab w:val="left" w:pos="840"/>
        </w:tabs>
        <w:ind w:leftChars="0"/>
        <w:rPr>
          <w:rFonts w:hint="eastAsia"/>
          <w:b/>
          <w:bCs/>
          <w:lang w:val="en-US" w:eastAsia="zh-CN"/>
        </w:rPr>
      </w:pPr>
      <w:r>
        <w:rPr>
          <w:rFonts w:hint="eastAsia"/>
          <w:b/>
          <w:bCs/>
          <w:lang w:val="en-US" w:eastAsia="zh-CN"/>
        </w:rPr>
        <w:t>Observation 3: With the knowledge of satellite system ID and satellite ID, it is possible for UE to derive the location or predict the target satellite according to the ephemeris which benefits mobility.</w:t>
      </w:r>
    </w:p>
    <w:p>
      <w:pPr>
        <w:numPr>
          <w:ilvl w:val="0"/>
          <w:numId w:val="0"/>
        </w:numPr>
        <w:tabs>
          <w:tab w:val="left" w:pos="840"/>
        </w:tabs>
        <w:ind w:leftChars="0"/>
        <w:rPr>
          <w:rFonts w:hint="eastAsia"/>
          <w:lang w:val="en-US" w:eastAsia="zh-CN"/>
        </w:rPr>
      </w:pPr>
      <w:r>
        <w:rPr>
          <w:rFonts w:hint="eastAsia"/>
          <w:b/>
          <w:bCs/>
          <w:lang w:val="en-US" w:eastAsia="zh-CN"/>
        </w:rPr>
        <w:t>Proposal 4: The satellite system ID and satellite ID is provided to UE via system information or dedicated RRC signaling.</w:t>
      </w:r>
    </w:p>
    <w:p>
      <w:pPr>
        <w:pStyle w:val="3"/>
        <w:numPr>
          <w:ilvl w:val="1"/>
          <w:numId w:val="0"/>
        </w:numPr>
        <w:tabs>
          <w:tab w:val="clear" w:pos="575"/>
        </w:tabs>
        <w:ind w:leftChars="0"/>
        <w:rPr>
          <w:rFonts w:hint="eastAsia"/>
          <w:lang w:val="en-US" w:eastAsia="zh-CN"/>
        </w:rPr>
      </w:pPr>
      <w:r>
        <w:rPr>
          <w:rFonts w:hint="eastAsia"/>
          <w:lang w:val="en-US" w:eastAsia="zh-CN"/>
        </w:rPr>
        <w:t>2.2.Mobility</w:t>
      </w:r>
    </w:p>
    <w:p>
      <w:pPr>
        <w:pStyle w:val="4"/>
        <w:numPr>
          <w:numId w:val="0"/>
        </w:numPr>
        <w:ind w:leftChars="0"/>
        <w:rPr>
          <w:rFonts w:hint="eastAsia"/>
          <w:lang w:val="en-US" w:eastAsia="zh-CN"/>
        </w:rPr>
      </w:pPr>
      <w:r>
        <w:rPr>
          <w:rFonts w:hint="eastAsia"/>
          <w:lang w:val="en-US" w:eastAsia="zh-CN"/>
        </w:rPr>
        <w:t>2.2.1.IDLE mobility</w:t>
      </w:r>
    </w:p>
    <w:p>
      <w:pPr>
        <w:numPr>
          <w:ilvl w:val="0"/>
          <w:numId w:val="0"/>
        </w:numPr>
        <w:tabs>
          <w:tab w:val="left" w:pos="840"/>
        </w:tabs>
        <w:ind w:leftChars="0"/>
        <w:rPr>
          <w:rFonts w:hint="eastAsia"/>
          <w:lang w:val="en-US" w:eastAsia="zh-CN"/>
        </w:rPr>
      </w:pPr>
      <w:r>
        <w:rPr>
          <w:rFonts w:hint="eastAsia"/>
          <w:lang w:val="en-US" w:eastAsia="zh-CN"/>
        </w:rPr>
        <w:t xml:space="preserve">Based on the proposal 1, since the overlapped </w:t>
      </w:r>
      <w:r>
        <w:rPr>
          <w:rFonts w:hint="default"/>
          <w:lang w:val="en-US" w:eastAsia="zh-CN"/>
        </w:rPr>
        <w:t>“</w:t>
      </w:r>
      <w:r>
        <w:rPr>
          <w:rFonts w:hint="eastAsia"/>
          <w:lang w:val="en-US" w:eastAsia="zh-CN"/>
        </w:rPr>
        <w:t>Earth-fixed beams</w:t>
      </w:r>
      <w:r>
        <w:rPr>
          <w:rFonts w:hint="default"/>
          <w:lang w:val="en-US" w:eastAsia="zh-CN"/>
        </w:rPr>
        <w:t>”</w:t>
      </w:r>
      <w:r>
        <w:rPr>
          <w:rFonts w:hint="eastAsia"/>
          <w:lang w:val="en-US" w:eastAsia="zh-CN"/>
        </w:rPr>
        <w:t xml:space="preserve"> from different satellites will be modeled as different cells, the NR IDLE cell selection/reselection mechanism can be reused in NTN. And the UE should process the cell selection/reselection based on the signal strength and quality. One example for IDLE mobility is given as follow:</w:t>
      </w:r>
    </w:p>
    <w:p>
      <w:pPr>
        <w:numPr>
          <w:ilvl w:val="0"/>
          <w:numId w:val="0"/>
        </w:numPr>
        <w:tabs>
          <w:tab w:val="left" w:pos="840"/>
        </w:tabs>
        <w:ind w:leftChars="0"/>
        <w:rPr>
          <w:rFonts w:hint="eastAsia"/>
          <w:b/>
          <w:bCs/>
          <w:lang w:val="en-US" w:eastAsia="zh-CN"/>
        </w:rPr>
      </w:pPr>
      <w:r>
        <w:rPr>
          <w:rFonts w:hint="eastAsia"/>
          <w:b/>
          <w:bCs/>
          <w:lang w:val="en-US" w:eastAsia="zh-CN"/>
        </w:rPr>
        <w:object>
          <v:shape id="_x0000_i1026" o:spt="75" type="#_x0000_t75" style="height:496.2pt;width:488.65pt;" o:ole="t" filled="f" o:preferrelative="t" stroked="f" coordsize="21600,21600">
            <v:path/>
            <v:fill on="f" focussize="0,0"/>
            <v:stroke on="f"/>
            <v:imagedata r:id="rId9" o:title=""/>
            <o:lock v:ext="edit" aspectratio="f"/>
            <w10:wrap type="none"/>
            <w10:anchorlock/>
          </v:shape>
          <o:OLEObject Type="Embed" ProgID="Visio.Drawing.11" ShapeID="_x0000_i1026" DrawAspect="Content" ObjectID="_1468075726" r:id="rId8">
            <o:LockedField>false</o:LockedField>
          </o:OLEObject>
        </w:object>
      </w:r>
    </w:p>
    <w:p>
      <w:pPr>
        <w:numPr>
          <w:ilvl w:val="0"/>
          <w:numId w:val="0"/>
        </w:numPr>
        <w:tabs>
          <w:tab w:val="left" w:pos="840"/>
        </w:tabs>
        <w:ind w:leftChars="0"/>
        <w:rPr>
          <w:rFonts w:hint="eastAsia"/>
          <w:lang w:val="en-US" w:eastAsia="zh-CN"/>
        </w:rPr>
      </w:pPr>
      <w:r>
        <w:rPr>
          <w:rFonts w:hint="eastAsia"/>
          <w:lang w:val="en-US" w:eastAsia="zh-CN"/>
        </w:rPr>
        <w:t xml:space="preserve">Different from legacy NR terrestrial networks, the IDLE mobility will be triggered by either the movement of UE or the movement of satellite, which means frequent cell reselection will be triggered by the movement of satellites, even the UE is static. However, frequent cell reselection does not mean more signaling consumption between UE and NW. Based on current specs, the UE will only initiate the signaling connection in IDLE mobility for the purpose of tracking area update. And based on the agreements made in RAN3 that </w:t>
      </w:r>
      <w:r>
        <w:rPr>
          <w:rFonts w:hint="default"/>
          <w:lang w:val="en-US" w:eastAsia="zh-CN"/>
        </w:rPr>
        <w:t>“</w:t>
      </w:r>
      <w:r>
        <w:t>a tracking area corresponds to a fixed geographical area</w:t>
      </w:r>
      <w:r>
        <w:rPr>
          <w:rFonts w:hint="default"/>
          <w:lang w:val="en-US" w:eastAsia="zh-CN"/>
        </w:rPr>
        <w:t>”</w:t>
      </w:r>
      <w:r>
        <w:rPr>
          <w:rFonts w:hint="eastAsia"/>
          <w:lang w:val="en-US" w:eastAsia="zh-CN"/>
        </w:rPr>
        <w:t>, we can assume the TAU will not be triggered in case the UE is static, even frequent cell reselection will be triggered by the movement of satellites, thus we don</w:t>
      </w:r>
      <w:r>
        <w:rPr>
          <w:rFonts w:hint="default"/>
          <w:lang w:val="en-US" w:eastAsia="zh-CN"/>
        </w:rPr>
        <w:t>’</w:t>
      </w:r>
      <w:r>
        <w:rPr>
          <w:rFonts w:hint="eastAsia"/>
          <w:lang w:val="en-US" w:eastAsia="zh-CN"/>
        </w:rPr>
        <w:t xml:space="preserve">t see the risk for the extra signaling consumption caused by IDLE mobility, compared to the terrestrial networks. </w:t>
      </w:r>
    </w:p>
    <w:p>
      <w:pPr>
        <w:numPr>
          <w:ilvl w:val="0"/>
          <w:numId w:val="0"/>
        </w:numPr>
        <w:tabs>
          <w:tab w:val="left" w:pos="840"/>
        </w:tabs>
        <w:ind w:leftChars="0"/>
        <w:rPr>
          <w:rFonts w:hint="eastAsia"/>
          <w:b/>
          <w:bCs/>
          <w:lang w:val="en-US" w:eastAsia="zh-CN"/>
        </w:rPr>
      </w:pPr>
      <w:r>
        <w:rPr>
          <w:rFonts w:hint="eastAsia"/>
          <w:b/>
          <w:bCs/>
          <w:lang w:val="en-US" w:eastAsia="zh-CN"/>
        </w:rPr>
        <w:t xml:space="preserve">Observation 4: Even more cell reselection will be triggered by the movement of satellites, considering the agreements that </w:t>
      </w:r>
      <w:r>
        <w:rPr>
          <w:rFonts w:hint="default"/>
          <w:b/>
          <w:bCs/>
          <w:lang w:val="en-US" w:eastAsia="zh-CN"/>
        </w:rPr>
        <w:t>“</w:t>
      </w:r>
      <w:r>
        <w:rPr>
          <w:b/>
          <w:bCs/>
        </w:rPr>
        <w:t>a tracking area corresponds to a fixed geographical area</w:t>
      </w:r>
      <w:r>
        <w:rPr>
          <w:rFonts w:hint="default"/>
          <w:b/>
          <w:bCs/>
          <w:lang w:val="en-US" w:eastAsia="zh-CN"/>
        </w:rPr>
        <w:t>”</w:t>
      </w:r>
      <w:r>
        <w:rPr>
          <w:rFonts w:hint="eastAsia"/>
          <w:b/>
          <w:bCs/>
          <w:lang w:val="en-US" w:eastAsia="zh-CN"/>
        </w:rPr>
        <w:t>, the TAU will not be triggered frequently, thus no optimization is needed for such frequent cell reselection caused by the movement of satellites.</w:t>
      </w:r>
    </w:p>
    <w:p>
      <w:pPr>
        <w:numPr>
          <w:ilvl w:val="0"/>
          <w:numId w:val="0"/>
        </w:numPr>
        <w:tabs>
          <w:tab w:val="left" w:pos="840"/>
        </w:tabs>
        <w:ind w:leftChars="0"/>
        <w:rPr>
          <w:rFonts w:hint="eastAsia"/>
          <w:b/>
          <w:bCs/>
          <w:lang w:val="en-US" w:eastAsia="zh-CN"/>
        </w:rPr>
      </w:pPr>
      <w:r>
        <w:rPr>
          <w:rFonts w:hint="eastAsia"/>
          <w:b/>
          <w:bCs/>
          <w:lang w:val="en-US" w:eastAsia="zh-CN"/>
        </w:rPr>
        <w:t>Proposal 5: The IDLE mobility mechanism defined in NR can be reused in NTN. No optimization is needed for the frequent cell reselection caused by the movement of satellites.</w:t>
      </w:r>
    </w:p>
    <w:p>
      <w:pPr>
        <w:pStyle w:val="4"/>
        <w:numPr>
          <w:numId w:val="0"/>
        </w:numPr>
        <w:ind w:leftChars="0"/>
        <w:rPr>
          <w:rFonts w:hint="eastAsia"/>
          <w:lang w:val="en-US" w:eastAsia="zh-CN"/>
        </w:rPr>
      </w:pPr>
      <w:r>
        <w:rPr>
          <w:rFonts w:hint="eastAsia"/>
          <w:lang w:val="en-US" w:eastAsia="zh-CN"/>
        </w:rPr>
        <w:t>2.2.2.CONNECTED state mobility</w:t>
      </w:r>
    </w:p>
    <w:p>
      <w:pPr>
        <w:numPr>
          <w:ilvl w:val="0"/>
          <w:numId w:val="0"/>
        </w:numPr>
        <w:tabs>
          <w:tab w:val="left" w:pos="840"/>
        </w:tabs>
        <w:ind w:leftChars="0"/>
        <w:rPr>
          <w:rFonts w:hint="eastAsia"/>
          <w:lang w:val="en-US" w:eastAsia="zh-CN"/>
        </w:rPr>
      </w:pPr>
      <w:r>
        <w:rPr>
          <w:rFonts w:hint="eastAsia"/>
          <w:lang w:val="en-US" w:eastAsia="zh-CN"/>
        </w:rPr>
        <w:t xml:space="preserve">Based on the proposal 1, since the overlapped </w:t>
      </w:r>
      <w:r>
        <w:rPr>
          <w:rFonts w:hint="default"/>
          <w:lang w:val="en-US" w:eastAsia="zh-CN"/>
        </w:rPr>
        <w:t>“</w:t>
      </w:r>
      <w:r>
        <w:rPr>
          <w:rFonts w:hint="eastAsia"/>
          <w:lang w:val="en-US" w:eastAsia="zh-CN"/>
        </w:rPr>
        <w:t>Earth-fixed beams</w:t>
      </w:r>
      <w:r>
        <w:rPr>
          <w:rFonts w:hint="default"/>
          <w:lang w:val="en-US" w:eastAsia="zh-CN"/>
        </w:rPr>
        <w:t>”</w:t>
      </w:r>
      <w:r>
        <w:rPr>
          <w:rFonts w:hint="eastAsia"/>
          <w:lang w:val="en-US" w:eastAsia="zh-CN"/>
        </w:rPr>
        <w:t xml:space="preserve"> from different satellites will be modeled as different cells, the basic handover procedure defined in NR can be considered as baseline. In addition, considering different satellites have different location in space and have different requirement on TA, RA procedure will be required to establish the UL synchronization with the target satellite.</w:t>
      </w:r>
    </w:p>
    <w:p>
      <w:pPr>
        <w:numPr>
          <w:ilvl w:val="0"/>
          <w:numId w:val="0"/>
        </w:numPr>
        <w:tabs>
          <w:tab w:val="left" w:pos="840"/>
        </w:tabs>
        <w:ind w:leftChars="0"/>
        <w:rPr>
          <w:rFonts w:hint="eastAsia"/>
          <w:b/>
          <w:bCs/>
          <w:lang w:val="en-US" w:eastAsia="zh-CN"/>
        </w:rPr>
      </w:pPr>
      <w:r>
        <w:rPr>
          <w:rFonts w:hint="eastAsia"/>
          <w:b/>
          <w:bCs/>
          <w:lang w:val="en-US" w:eastAsia="zh-CN"/>
        </w:rPr>
        <w:t>Observation 5: RACH procedure is needed to establish the UL synchronization with the target satellite.</w:t>
      </w:r>
    </w:p>
    <w:p>
      <w:pPr>
        <w:numPr>
          <w:ilvl w:val="0"/>
          <w:numId w:val="0"/>
        </w:numPr>
        <w:tabs>
          <w:tab w:val="left" w:pos="840"/>
        </w:tabs>
        <w:ind w:leftChars="0"/>
        <w:rPr>
          <w:rFonts w:hint="eastAsia"/>
          <w:lang w:val="en-US" w:eastAsia="zh-CN"/>
        </w:rPr>
      </w:pPr>
      <w:r>
        <w:rPr>
          <w:rFonts w:hint="eastAsia"/>
          <w:lang w:val="en-US" w:eastAsia="zh-CN"/>
        </w:rPr>
        <w:t>Since RA procedure is needed anyway in case of handover between different satellites, and the RA procedure can only be triggered by the reconfiguration with SYNC, we propose that:</w:t>
      </w:r>
    </w:p>
    <w:p>
      <w:pPr>
        <w:numPr>
          <w:ilvl w:val="0"/>
          <w:numId w:val="0"/>
        </w:numPr>
        <w:tabs>
          <w:tab w:val="left" w:pos="840"/>
        </w:tabs>
        <w:ind w:leftChars="0"/>
        <w:rPr>
          <w:rFonts w:hint="eastAsia"/>
          <w:b/>
          <w:bCs/>
          <w:lang w:val="en-US" w:eastAsia="zh-CN"/>
        </w:rPr>
      </w:pPr>
      <w:r>
        <w:rPr>
          <w:rFonts w:hint="eastAsia"/>
          <w:b/>
          <w:bCs/>
          <w:lang w:val="en-US" w:eastAsia="zh-CN"/>
        </w:rPr>
        <w:t>Proposal 6: For the connected mobility between two satellites, the reconfiguration with SYNC procedure should be used.</w:t>
      </w:r>
    </w:p>
    <w:p>
      <w:pPr>
        <w:numPr>
          <w:ilvl w:val="0"/>
          <w:numId w:val="0"/>
        </w:numPr>
        <w:tabs>
          <w:tab w:val="left" w:pos="840"/>
        </w:tabs>
        <w:ind w:leftChars="0"/>
        <w:rPr>
          <w:rFonts w:hint="eastAsia"/>
          <w:lang w:val="en-US" w:eastAsia="zh-CN"/>
        </w:rPr>
      </w:pPr>
      <w:r>
        <w:rPr>
          <w:rFonts w:hint="eastAsia"/>
          <w:lang w:val="en-US" w:eastAsia="zh-CN"/>
        </w:rPr>
        <w:t xml:space="preserve">For the NTN scenario, one issue worth to be considered is the long propagation delays. The Propagation delays for different scenarios are given in TR 38.811, which are listed as follow: </w:t>
      </w:r>
    </w:p>
    <w:p>
      <w:pPr>
        <w:numPr>
          <w:ilvl w:val="0"/>
          <w:numId w:val="0"/>
        </w:numPr>
        <w:tabs>
          <w:tab w:val="left" w:pos="840"/>
        </w:tabs>
        <w:ind w:leftChars="0"/>
        <w:rPr>
          <w:rFonts w:hint="eastAsia"/>
          <w:lang w:val="en-US" w:eastAsia="zh-CN"/>
        </w:rPr>
      </w:pPr>
      <w:r>
        <w:rPr>
          <w:rFonts w:hint="eastAsia"/>
          <w:lang w:val="en-US" w:eastAsia="zh-CN"/>
        </w:rPr>
        <w:t>--------------------------------------------------- From  TR 38.811 ----------------------------------------------------------------</w:t>
      </w:r>
    </w:p>
    <w:p>
      <w:pPr>
        <w:pStyle w:val="88"/>
      </w:pPr>
      <w:r>
        <w:t>Table 5.3.2.1-1: Propagation delays for GEO satellite at 35786 km</w:t>
      </w:r>
    </w:p>
    <w:tbl>
      <w:tblPr>
        <w:tblStyle w:val="64"/>
        <w:tblW w:w="9781" w:type="dxa"/>
        <w:tblInd w:w="0" w:type="dxa"/>
        <w:tblLayout w:type="fixed"/>
        <w:tblCellMar>
          <w:top w:w="0" w:type="dxa"/>
          <w:left w:w="70" w:type="dxa"/>
          <w:bottom w:w="0" w:type="dxa"/>
          <w:right w:w="70" w:type="dxa"/>
        </w:tblCellMar>
      </w:tblPr>
      <w:tblGrid>
        <w:gridCol w:w="1930"/>
        <w:gridCol w:w="3159"/>
        <w:gridCol w:w="2658"/>
        <w:gridCol w:w="2034"/>
      </w:tblGrid>
      <w:tr>
        <w:tblPrEx>
          <w:tblLayout w:type="fixed"/>
          <w:tblCellMar>
            <w:top w:w="0" w:type="dxa"/>
            <w:left w:w="70" w:type="dxa"/>
            <w:bottom w:w="0" w:type="dxa"/>
            <w:right w:w="70" w:type="dxa"/>
          </w:tblCellMar>
        </w:tblPrEx>
        <w:trPr>
          <w:cantSplit/>
        </w:trPr>
        <w:tc>
          <w:tcPr>
            <w:tcW w:w="1930" w:type="dxa"/>
            <w:tcBorders>
              <w:top w:val="single" w:color="auto" w:sz="4" w:space="0"/>
              <w:left w:val="single" w:color="auto" w:sz="4" w:space="0"/>
              <w:bottom w:val="single" w:color="auto" w:sz="4" w:space="0"/>
              <w:right w:val="single" w:color="auto" w:sz="4" w:space="0"/>
            </w:tcBorders>
            <w:shd w:val="clear" w:color="auto" w:fill="auto"/>
            <w:vAlign w:val="bottom"/>
          </w:tcPr>
          <w:p>
            <w:pPr>
              <w:pStyle w:val="199"/>
              <w:rPr>
                <w:lang w:eastAsia="fr-FR"/>
              </w:rPr>
            </w:pPr>
            <w:r>
              <w:rPr>
                <w:lang w:eastAsia="fr-FR"/>
              </w:rPr>
              <w:t> </w:t>
            </w:r>
          </w:p>
        </w:tc>
        <w:tc>
          <w:tcPr>
            <w:tcW w:w="7851" w:type="dxa"/>
            <w:gridSpan w:val="3"/>
            <w:tcBorders>
              <w:top w:val="single" w:color="auto" w:sz="4" w:space="0"/>
              <w:left w:val="nil"/>
              <w:bottom w:val="single" w:color="auto" w:sz="4" w:space="0"/>
              <w:right w:val="single" w:color="auto" w:sz="4" w:space="0"/>
            </w:tcBorders>
            <w:shd w:val="clear" w:color="auto" w:fill="auto"/>
            <w:vAlign w:val="bottom"/>
          </w:tcPr>
          <w:p>
            <w:pPr>
              <w:pStyle w:val="199"/>
              <w:rPr>
                <w:lang w:val="fr-FR" w:eastAsia="fr-FR"/>
              </w:rPr>
            </w:pPr>
            <w:r>
              <w:rPr>
                <w:lang w:eastAsia="fr-FR"/>
              </w:rPr>
              <w:t> </w:t>
            </w:r>
            <w:r>
              <w:rPr>
                <w:lang w:val="fr-FR" w:eastAsia="fr-FR"/>
              </w:rPr>
              <w:t>GEO at 35786 km</w:t>
            </w:r>
          </w:p>
        </w:tc>
      </w:tr>
      <w:tr>
        <w:tblPrEx>
          <w:tblLayout w:type="fixed"/>
          <w:tblCellMar>
            <w:top w:w="0" w:type="dxa"/>
            <w:left w:w="70" w:type="dxa"/>
            <w:bottom w:w="0" w:type="dxa"/>
            <w:right w:w="70" w:type="dxa"/>
          </w:tblCellMar>
        </w:tblPrEx>
        <w:trPr>
          <w:cantSplit/>
        </w:trPr>
        <w:tc>
          <w:tcPr>
            <w:tcW w:w="1930" w:type="dxa"/>
            <w:tcBorders>
              <w:top w:val="nil"/>
              <w:left w:val="single" w:color="auto" w:sz="4" w:space="0"/>
              <w:bottom w:val="single" w:color="auto" w:sz="4" w:space="0"/>
              <w:right w:val="single" w:color="auto" w:sz="4" w:space="0"/>
            </w:tcBorders>
            <w:shd w:val="clear" w:color="auto" w:fill="auto"/>
            <w:vAlign w:val="bottom"/>
          </w:tcPr>
          <w:p>
            <w:pPr>
              <w:pStyle w:val="199"/>
              <w:rPr>
                <w:lang w:eastAsia="fr-FR"/>
              </w:rPr>
            </w:pPr>
            <w:r>
              <w:rPr>
                <w:lang w:eastAsia="fr-FR"/>
              </w:rPr>
              <w:t>Elevation angle</w:t>
            </w:r>
          </w:p>
        </w:tc>
        <w:tc>
          <w:tcPr>
            <w:tcW w:w="3159" w:type="dxa"/>
            <w:tcBorders>
              <w:top w:val="nil"/>
              <w:left w:val="nil"/>
              <w:bottom w:val="single" w:color="auto" w:sz="4" w:space="0"/>
              <w:right w:val="single" w:color="auto" w:sz="4" w:space="0"/>
            </w:tcBorders>
            <w:shd w:val="clear" w:color="auto" w:fill="auto"/>
            <w:vAlign w:val="bottom"/>
          </w:tcPr>
          <w:p>
            <w:pPr>
              <w:pStyle w:val="199"/>
              <w:rPr>
                <w:lang w:eastAsia="fr-FR"/>
              </w:rPr>
            </w:pPr>
            <w:r>
              <w:rPr>
                <w:lang w:eastAsia="fr-FR"/>
              </w:rPr>
              <w:t>Path</w:t>
            </w:r>
          </w:p>
        </w:tc>
        <w:tc>
          <w:tcPr>
            <w:tcW w:w="2658" w:type="dxa"/>
            <w:tcBorders>
              <w:top w:val="nil"/>
              <w:left w:val="nil"/>
              <w:bottom w:val="single" w:color="auto" w:sz="4" w:space="0"/>
              <w:right w:val="single" w:color="auto" w:sz="4" w:space="0"/>
            </w:tcBorders>
            <w:shd w:val="clear" w:color="auto" w:fill="auto"/>
            <w:vAlign w:val="bottom"/>
          </w:tcPr>
          <w:p>
            <w:pPr>
              <w:pStyle w:val="199"/>
              <w:rPr>
                <w:lang w:val="fr-FR" w:eastAsia="fr-FR"/>
              </w:rPr>
            </w:pPr>
            <w:r>
              <w:rPr>
                <w:lang w:val="fr-FR" w:eastAsia="fr-FR"/>
              </w:rPr>
              <w:t>D (km)</w:t>
            </w:r>
          </w:p>
        </w:tc>
        <w:tc>
          <w:tcPr>
            <w:tcW w:w="2034" w:type="dxa"/>
            <w:tcBorders>
              <w:top w:val="nil"/>
              <w:left w:val="nil"/>
              <w:bottom w:val="single" w:color="auto" w:sz="4" w:space="0"/>
              <w:right w:val="single" w:color="auto" w:sz="4" w:space="0"/>
            </w:tcBorders>
            <w:shd w:val="clear" w:color="auto" w:fill="auto"/>
            <w:vAlign w:val="bottom"/>
          </w:tcPr>
          <w:p>
            <w:pPr>
              <w:pStyle w:val="199"/>
              <w:rPr>
                <w:lang w:val="fr-FR" w:eastAsia="fr-FR"/>
              </w:rPr>
            </w:pPr>
            <w:r>
              <w:rPr>
                <w:lang w:val="fr-FR" w:eastAsia="fr-FR"/>
              </w:rPr>
              <w:t>Time (ms)</w:t>
            </w:r>
          </w:p>
        </w:tc>
      </w:tr>
      <w:tr>
        <w:tblPrEx>
          <w:tblLayout w:type="fixed"/>
          <w:tblCellMar>
            <w:top w:w="0" w:type="dxa"/>
            <w:left w:w="70" w:type="dxa"/>
            <w:bottom w:w="0" w:type="dxa"/>
            <w:right w:w="70" w:type="dxa"/>
          </w:tblCellMar>
        </w:tblPrEx>
        <w:trPr>
          <w:cantSplit/>
        </w:trPr>
        <w:tc>
          <w:tcPr>
            <w:tcW w:w="1930" w:type="dxa"/>
            <w:tcBorders>
              <w:top w:val="nil"/>
              <w:left w:val="single" w:color="auto" w:sz="4" w:space="0"/>
              <w:bottom w:val="single" w:color="auto" w:sz="4" w:space="0"/>
              <w:right w:val="single" w:color="auto" w:sz="4" w:space="0"/>
            </w:tcBorders>
            <w:shd w:val="clear" w:color="auto" w:fill="auto"/>
            <w:vAlign w:val="center"/>
          </w:tcPr>
          <w:p>
            <w:pPr>
              <w:pStyle w:val="104"/>
              <w:rPr>
                <w:lang w:eastAsia="fr-FR"/>
              </w:rPr>
            </w:pPr>
            <w:r>
              <w:rPr>
                <w:lang w:eastAsia="fr-FR"/>
              </w:rPr>
              <w:t>UE :10°</w:t>
            </w:r>
          </w:p>
        </w:tc>
        <w:tc>
          <w:tcPr>
            <w:tcW w:w="3159" w:type="dxa"/>
            <w:tcBorders>
              <w:top w:val="nil"/>
              <w:left w:val="nil"/>
              <w:bottom w:val="single" w:color="auto" w:sz="4" w:space="0"/>
              <w:right w:val="single" w:color="auto" w:sz="4" w:space="0"/>
            </w:tcBorders>
            <w:shd w:val="clear" w:color="auto" w:fill="auto"/>
            <w:vAlign w:val="center"/>
          </w:tcPr>
          <w:p>
            <w:pPr>
              <w:pStyle w:val="104"/>
              <w:rPr>
                <w:lang w:eastAsia="fr-FR"/>
              </w:rPr>
            </w:pPr>
            <w:r>
              <w:rPr>
                <w:lang w:eastAsia="fr-FR"/>
              </w:rPr>
              <w:t>satellite - UE</w:t>
            </w:r>
          </w:p>
        </w:tc>
        <w:tc>
          <w:tcPr>
            <w:tcW w:w="2658" w:type="dxa"/>
            <w:tcBorders>
              <w:top w:val="nil"/>
              <w:left w:val="nil"/>
              <w:bottom w:val="single" w:color="auto" w:sz="4" w:space="0"/>
              <w:right w:val="single" w:color="auto" w:sz="4" w:space="0"/>
            </w:tcBorders>
            <w:shd w:val="clear" w:color="auto" w:fill="auto"/>
            <w:vAlign w:val="center"/>
          </w:tcPr>
          <w:p>
            <w:pPr>
              <w:pStyle w:val="104"/>
              <w:rPr>
                <w:lang w:eastAsia="fr-FR"/>
              </w:rPr>
            </w:pPr>
            <w:r>
              <w:rPr>
                <w:lang w:eastAsia="fr-FR"/>
              </w:rPr>
              <w:t>40586</w:t>
            </w:r>
          </w:p>
        </w:tc>
        <w:tc>
          <w:tcPr>
            <w:tcW w:w="2034" w:type="dxa"/>
            <w:tcBorders>
              <w:top w:val="nil"/>
              <w:left w:val="nil"/>
              <w:bottom w:val="single" w:color="auto" w:sz="4" w:space="0"/>
              <w:right w:val="single" w:color="auto" w:sz="4" w:space="0"/>
            </w:tcBorders>
            <w:shd w:val="clear" w:color="auto" w:fill="auto"/>
            <w:vAlign w:val="center"/>
          </w:tcPr>
          <w:p>
            <w:pPr>
              <w:pStyle w:val="104"/>
              <w:rPr>
                <w:lang w:eastAsia="fr-FR"/>
              </w:rPr>
            </w:pPr>
            <w:r>
              <w:rPr>
                <w:lang w:eastAsia="fr-FR"/>
              </w:rPr>
              <w:t>135.286</w:t>
            </w:r>
          </w:p>
        </w:tc>
      </w:tr>
      <w:tr>
        <w:tblPrEx>
          <w:tblLayout w:type="fixed"/>
          <w:tblCellMar>
            <w:top w:w="0" w:type="dxa"/>
            <w:left w:w="70" w:type="dxa"/>
            <w:bottom w:w="0" w:type="dxa"/>
            <w:right w:w="70" w:type="dxa"/>
          </w:tblCellMar>
        </w:tblPrEx>
        <w:trPr>
          <w:cantSplit/>
        </w:trPr>
        <w:tc>
          <w:tcPr>
            <w:tcW w:w="1930" w:type="dxa"/>
            <w:tcBorders>
              <w:top w:val="nil"/>
              <w:left w:val="single" w:color="auto" w:sz="4" w:space="0"/>
              <w:bottom w:val="single" w:color="auto" w:sz="4" w:space="0"/>
              <w:right w:val="single" w:color="auto" w:sz="4" w:space="0"/>
            </w:tcBorders>
            <w:shd w:val="clear" w:color="auto" w:fill="auto"/>
            <w:vAlign w:val="center"/>
          </w:tcPr>
          <w:p>
            <w:pPr>
              <w:pStyle w:val="104"/>
              <w:rPr>
                <w:lang w:eastAsia="fr-FR"/>
              </w:rPr>
            </w:pPr>
            <w:r>
              <w:rPr>
                <w:lang w:eastAsia="fr-FR"/>
              </w:rPr>
              <w:t>GW : 5°</w:t>
            </w:r>
          </w:p>
        </w:tc>
        <w:tc>
          <w:tcPr>
            <w:tcW w:w="3159" w:type="dxa"/>
            <w:tcBorders>
              <w:top w:val="nil"/>
              <w:left w:val="nil"/>
              <w:bottom w:val="single" w:color="auto" w:sz="4" w:space="0"/>
              <w:right w:val="single" w:color="auto" w:sz="4" w:space="0"/>
            </w:tcBorders>
            <w:shd w:val="clear" w:color="auto" w:fill="auto"/>
            <w:vAlign w:val="center"/>
          </w:tcPr>
          <w:p>
            <w:pPr>
              <w:pStyle w:val="104"/>
              <w:rPr>
                <w:lang w:eastAsia="fr-FR"/>
              </w:rPr>
            </w:pPr>
            <w:r>
              <w:rPr>
                <w:lang w:eastAsia="fr-FR"/>
              </w:rPr>
              <w:t>satellite - gateway</w:t>
            </w:r>
          </w:p>
        </w:tc>
        <w:tc>
          <w:tcPr>
            <w:tcW w:w="2658" w:type="dxa"/>
            <w:tcBorders>
              <w:top w:val="nil"/>
              <w:left w:val="nil"/>
              <w:bottom w:val="single" w:color="auto" w:sz="4" w:space="0"/>
              <w:right w:val="single" w:color="auto" w:sz="4" w:space="0"/>
            </w:tcBorders>
            <w:shd w:val="clear" w:color="auto" w:fill="auto"/>
            <w:vAlign w:val="center"/>
          </w:tcPr>
          <w:p>
            <w:pPr>
              <w:pStyle w:val="104"/>
              <w:rPr>
                <w:lang w:eastAsia="fr-FR"/>
              </w:rPr>
            </w:pPr>
            <w:r>
              <w:rPr>
                <w:lang w:eastAsia="fr-FR"/>
              </w:rPr>
              <w:t>41126.6</w:t>
            </w:r>
          </w:p>
        </w:tc>
        <w:tc>
          <w:tcPr>
            <w:tcW w:w="2034" w:type="dxa"/>
            <w:tcBorders>
              <w:top w:val="nil"/>
              <w:left w:val="nil"/>
              <w:bottom w:val="single" w:color="auto" w:sz="4" w:space="0"/>
              <w:right w:val="single" w:color="auto" w:sz="4" w:space="0"/>
            </w:tcBorders>
            <w:shd w:val="clear" w:color="auto" w:fill="auto"/>
            <w:vAlign w:val="center"/>
          </w:tcPr>
          <w:p>
            <w:pPr>
              <w:pStyle w:val="104"/>
              <w:rPr>
                <w:lang w:eastAsia="fr-FR"/>
              </w:rPr>
            </w:pPr>
            <w:r>
              <w:rPr>
                <w:lang w:eastAsia="fr-FR"/>
              </w:rPr>
              <w:t>137.088</w:t>
            </w:r>
          </w:p>
        </w:tc>
      </w:tr>
      <w:tr>
        <w:tblPrEx>
          <w:tblLayout w:type="fixed"/>
          <w:tblCellMar>
            <w:top w:w="0" w:type="dxa"/>
            <w:left w:w="70" w:type="dxa"/>
            <w:bottom w:w="0" w:type="dxa"/>
            <w:right w:w="70" w:type="dxa"/>
          </w:tblCellMar>
        </w:tblPrEx>
        <w:trPr>
          <w:cantSplit/>
        </w:trPr>
        <w:tc>
          <w:tcPr>
            <w:tcW w:w="1930" w:type="dxa"/>
            <w:tcBorders>
              <w:top w:val="nil"/>
              <w:left w:val="single" w:color="auto" w:sz="4" w:space="0"/>
              <w:bottom w:val="single" w:color="auto" w:sz="4" w:space="0"/>
              <w:right w:val="single" w:color="auto" w:sz="4" w:space="0"/>
            </w:tcBorders>
            <w:shd w:val="clear" w:color="auto" w:fill="auto"/>
            <w:vAlign w:val="bottom"/>
          </w:tcPr>
          <w:p>
            <w:pPr>
              <w:pStyle w:val="104"/>
              <w:rPr>
                <w:lang w:eastAsia="fr-FR"/>
              </w:rPr>
            </w:pPr>
            <w:r>
              <w:rPr>
                <w:lang w:eastAsia="fr-FR"/>
              </w:rPr>
              <w:t>90°</w:t>
            </w:r>
          </w:p>
        </w:tc>
        <w:tc>
          <w:tcPr>
            <w:tcW w:w="3159" w:type="dxa"/>
            <w:tcBorders>
              <w:top w:val="nil"/>
              <w:left w:val="nil"/>
              <w:bottom w:val="single" w:color="auto" w:sz="4" w:space="0"/>
              <w:right w:val="single" w:color="auto" w:sz="4" w:space="0"/>
            </w:tcBorders>
            <w:shd w:val="clear" w:color="auto" w:fill="auto"/>
            <w:vAlign w:val="bottom"/>
          </w:tcPr>
          <w:p>
            <w:pPr>
              <w:pStyle w:val="104"/>
              <w:rPr>
                <w:lang w:eastAsia="fr-FR"/>
              </w:rPr>
            </w:pPr>
            <w:r>
              <w:rPr>
                <w:lang w:eastAsia="fr-FR"/>
              </w:rPr>
              <w:t>satellite - UE</w:t>
            </w:r>
          </w:p>
        </w:tc>
        <w:tc>
          <w:tcPr>
            <w:tcW w:w="2658" w:type="dxa"/>
            <w:tcBorders>
              <w:top w:val="nil"/>
              <w:left w:val="nil"/>
              <w:bottom w:val="single" w:color="auto" w:sz="4" w:space="0"/>
              <w:right w:val="single" w:color="auto" w:sz="4" w:space="0"/>
            </w:tcBorders>
            <w:shd w:val="clear" w:color="auto" w:fill="auto"/>
            <w:vAlign w:val="bottom"/>
          </w:tcPr>
          <w:p>
            <w:pPr>
              <w:pStyle w:val="104"/>
              <w:rPr>
                <w:lang w:eastAsia="fr-FR"/>
              </w:rPr>
            </w:pPr>
            <w:r>
              <w:rPr>
                <w:lang w:eastAsia="fr-FR"/>
              </w:rPr>
              <w:t>35786</w:t>
            </w:r>
          </w:p>
        </w:tc>
        <w:tc>
          <w:tcPr>
            <w:tcW w:w="2034" w:type="dxa"/>
            <w:tcBorders>
              <w:top w:val="nil"/>
              <w:left w:val="nil"/>
              <w:bottom w:val="single" w:color="auto" w:sz="4" w:space="0"/>
              <w:right w:val="single" w:color="auto" w:sz="4" w:space="0"/>
            </w:tcBorders>
            <w:shd w:val="clear" w:color="auto" w:fill="auto"/>
            <w:vAlign w:val="bottom"/>
          </w:tcPr>
          <w:p>
            <w:pPr>
              <w:pStyle w:val="104"/>
              <w:rPr>
                <w:lang w:eastAsia="fr-FR"/>
              </w:rPr>
            </w:pPr>
            <w:r>
              <w:rPr>
                <w:lang w:eastAsia="fr-FR"/>
              </w:rPr>
              <w:t>119.286</w:t>
            </w:r>
          </w:p>
        </w:tc>
      </w:tr>
      <w:tr>
        <w:tblPrEx>
          <w:tblLayout w:type="fixed"/>
          <w:tblCellMar>
            <w:top w:w="0" w:type="dxa"/>
            <w:left w:w="70" w:type="dxa"/>
            <w:bottom w:w="0" w:type="dxa"/>
            <w:right w:w="70" w:type="dxa"/>
          </w:tblCellMar>
        </w:tblPrEx>
        <w:trPr>
          <w:cantSplit/>
        </w:trPr>
        <w:tc>
          <w:tcPr>
            <w:tcW w:w="9781" w:type="dxa"/>
            <w:gridSpan w:val="4"/>
            <w:tcBorders>
              <w:top w:val="nil"/>
              <w:left w:val="single" w:color="auto" w:sz="4" w:space="0"/>
              <w:bottom w:val="single" w:color="auto" w:sz="4" w:space="0"/>
              <w:right w:val="single" w:color="auto" w:sz="4" w:space="0"/>
            </w:tcBorders>
            <w:shd w:val="clear" w:color="auto" w:fill="auto"/>
            <w:vAlign w:val="bottom"/>
          </w:tcPr>
          <w:p>
            <w:pPr>
              <w:pStyle w:val="200"/>
              <w:rPr>
                <w:lang w:eastAsia="fr-FR"/>
              </w:rPr>
            </w:pPr>
            <w:r>
              <w:rPr>
                <w:lang w:eastAsia="fr-FR"/>
              </w:rPr>
              <w:t>Bent Pipe satellite</w:t>
            </w:r>
          </w:p>
        </w:tc>
      </w:tr>
      <w:tr>
        <w:tblPrEx>
          <w:tblLayout w:type="fixed"/>
          <w:tblCellMar>
            <w:top w:w="0" w:type="dxa"/>
            <w:left w:w="70" w:type="dxa"/>
            <w:bottom w:w="0" w:type="dxa"/>
            <w:right w:w="70" w:type="dxa"/>
          </w:tblCellMar>
        </w:tblPrEx>
        <w:trPr>
          <w:cantSplit/>
        </w:trPr>
        <w:tc>
          <w:tcPr>
            <w:tcW w:w="1930" w:type="dxa"/>
            <w:tcBorders>
              <w:top w:val="single" w:color="auto" w:sz="4" w:space="0"/>
              <w:left w:val="single" w:color="auto" w:sz="4" w:space="0"/>
              <w:bottom w:val="single" w:color="auto" w:sz="4" w:space="0"/>
              <w:right w:val="single" w:color="auto" w:sz="4" w:space="0"/>
            </w:tcBorders>
            <w:shd w:val="clear" w:color="auto" w:fill="auto"/>
            <w:vAlign w:val="bottom"/>
          </w:tcPr>
          <w:p>
            <w:pPr>
              <w:pStyle w:val="104"/>
              <w:rPr>
                <w:lang w:eastAsia="fr-FR"/>
              </w:rPr>
            </w:pPr>
            <w:r>
              <w:rPr>
                <w:lang w:eastAsia="fr-FR"/>
              </w:rPr>
              <w:t>One way delay</w:t>
            </w:r>
          </w:p>
        </w:tc>
        <w:tc>
          <w:tcPr>
            <w:tcW w:w="3159" w:type="dxa"/>
            <w:tcBorders>
              <w:top w:val="single" w:color="auto" w:sz="4" w:space="0"/>
              <w:left w:val="nil"/>
              <w:bottom w:val="single" w:color="auto" w:sz="4" w:space="0"/>
              <w:right w:val="single" w:color="auto" w:sz="4" w:space="0"/>
            </w:tcBorders>
            <w:shd w:val="clear" w:color="auto" w:fill="auto"/>
            <w:vAlign w:val="bottom"/>
          </w:tcPr>
          <w:p>
            <w:pPr>
              <w:pStyle w:val="104"/>
              <w:rPr>
                <w:lang w:eastAsia="fr-FR"/>
              </w:rPr>
            </w:pPr>
            <w:r>
              <w:rPr>
                <w:lang w:eastAsia="fr-FR"/>
              </w:rPr>
              <w:t>Gateway-satellite_UE</w:t>
            </w:r>
          </w:p>
        </w:tc>
        <w:tc>
          <w:tcPr>
            <w:tcW w:w="2658" w:type="dxa"/>
            <w:tcBorders>
              <w:top w:val="single" w:color="auto" w:sz="4" w:space="0"/>
              <w:left w:val="nil"/>
              <w:bottom w:val="single" w:color="auto" w:sz="4" w:space="0"/>
              <w:right w:val="single" w:color="auto" w:sz="4" w:space="0"/>
            </w:tcBorders>
            <w:shd w:val="clear" w:color="auto" w:fill="auto"/>
            <w:vAlign w:val="center"/>
          </w:tcPr>
          <w:p>
            <w:pPr>
              <w:pStyle w:val="104"/>
              <w:rPr>
                <w:lang w:eastAsia="fr-FR"/>
              </w:rPr>
            </w:pPr>
            <w:r>
              <w:rPr>
                <w:lang w:eastAsia="fr-FR"/>
              </w:rPr>
              <w:t>81712.6</w:t>
            </w:r>
          </w:p>
        </w:tc>
        <w:tc>
          <w:tcPr>
            <w:tcW w:w="2034" w:type="dxa"/>
            <w:tcBorders>
              <w:top w:val="single" w:color="auto" w:sz="4" w:space="0"/>
              <w:left w:val="nil"/>
              <w:bottom w:val="single" w:color="auto" w:sz="4" w:space="0"/>
              <w:right w:val="single" w:color="auto" w:sz="4" w:space="0"/>
            </w:tcBorders>
            <w:shd w:val="clear" w:color="auto" w:fill="auto"/>
            <w:vAlign w:val="center"/>
          </w:tcPr>
          <w:p>
            <w:pPr>
              <w:pStyle w:val="104"/>
              <w:rPr>
                <w:lang w:eastAsia="fr-FR"/>
              </w:rPr>
            </w:pPr>
            <w:r>
              <w:rPr>
                <w:lang w:eastAsia="fr-FR"/>
              </w:rPr>
              <w:t>272.375</w:t>
            </w:r>
          </w:p>
        </w:tc>
      </w:tr>
      <w:tr>
        <w:tblPrEx>
          <w:tblLayout w:type="fixed"/>
          <w:tblCellMar>
            <w:top w:w="0" w:type="dxa"/>
            <w:left w:w="70" w:type="dxa"/>
            <w:bottom w:w="0" w:type="dxa"/>
            <w:right w:w="70" w:type="dxa"/>
          </w:tblCellMar>
        </w:tblPrEx>
        <w:trPr>
          <w:cantSplit/>
        </w:trPr>
        <w:tc>
          <w:tcPr>
            <w:tcW w:w="1930" w:type="dxa"/>
            <w:tcBorders>
              <w:top w:val="nil"/>
              <w:left w:val="single" w:color="auto" w:sz="4" w:space="0"/>
              <w:bottom w:val="single" w:color="auto" w:sz="4" w:space="0"/>
              <w:right w:val="single" w:color="auto" w:sz="4" w:space="0"/>
            </w:tcBorders>
            <w:shd w:val="clear" w:color="auto" w:fill="auto"/>
            <w:vAlign w:val="bottom"/>
          </w:tcPr>
          <w:p>
            <w:pPr>
              <w:pStyle w:val="104"/>
              <w:rPr>
                <w:lang w:eastAsia="fr-FR"/>
              </w:rPr>
            </w:pPr>
            <w:r>
              <w:rPr>
                <w:lang w:eastAsia="fr-FR"/>
              </w:rPr>
              <w:t>Round trip Time</w:t>
            </w:r>
          </w:p>
        </w:tc>
        <w:tc>
          <w:tcPr>
            <w:tcW w:w="3159" w:type="dxa"/>
            <w:tcBorders>
              <w:top w:val="nil"/>
              <w:left w:val="nil"/>
              <w:bottom w:val="single" w:color="auto" w:sz="4" w:space="0"/>
              <w:right w:val="single" w:color="auto" w:sz="4" w:space="0"/>
            </w:tcBorders>
            <w:shd w:val="clear" w:color="auto" w:fill="auto"/>
            <w:vAlign w:val="bottom"/>
          </w:tcPr>
          <w:p>
            <w:pPr>
              <w:pStyle w:val="104"/>
              <w:rPr>
                <w:lang w:eastAsia="fr-FR"/>
              </w:rPr>
            </w:pPr>
            <w:r>
              <w:rPr>
                <w:lang w:eastAsia="fr-FR"/>
              </w:rPr>
              <w:t>Twice</w:t>
            </w:r>
          </w:p>
        </w:tc>
        <w:tc>
          <w:tcPr>
            <w:tcW w:w="2658" w:type="dxa"/>
            <w:tcBorders>
              <w:top w:val="nil"/>
              <w:left w:val="nil"/>
              <w:bottom w:val="single" w:color="auto" w:sz="4" w:space="0"/>
              <w:right w:val="single" w:color="auto" w:sz="4" w:space="0"/>
            </w:tcBorders>
            <w:shd w:val="clear" w:color="auto" w:fill="auto"/>
            <w:vAlign w:val="center"/>
          </w:tcPr>
          <w:p>
            <w:pPr>
              <w:pStyle w:val="104"/>
              <w:rPr>
                <w:lang w:eastAsia="fr-FR"/>
              </w:rPr>
            </w:pPr>
            <w:r>
              <w:rPr>
                <w:lang w:eastAsia="fr-FR"/>
              </w:rPr>
              <w:t>163425.3</w:t>
            </w:r>
          </w:p>
        </w:tc>
        <w:tc>
          <w:tcPr>
            <w:tcW w:w="2034" w:type="dxa"/>
            <w:tcBorders>
              <w:top w:val="nil"/>
              <w:left w:val="nil"/>
              <w:bottom w:val="single" w:color="auto" w:sz="4" w:space="0"/>
              <w:right w:val="single" w:color="auto" w:sz="4" w:space="0"/>
            </w:tcBorders>
            <w:shd w:val="clear" w:color="auto" w:fill="auto"/>
            <w:vAlign w:val="center"/>
          </w:tcPr>
          <w:p>
            <w:pPr>
              <w:pStyle w:val="104"/>
              <w:rPr>
                <w:lang w:eastAsia="fr-FR"/>
              </w:rPr>
            </w:pPr>
            <w:r>
              <w:rPr>
                <w:lang w:eastAsia="fr-FR"/>
              </w:rPr>
              <w:t>544.751</w:t>
            </w:r>
          </w:p>
        </w:tc>
      </w:tr>
      <w:tr>
        <w:tblPrEx>
          <w:tblLayout w:type="fixed"/>
          <w:tblCellMar>
            <w:top w:w="0" w:type="dxa"/>
            <w:left w:w="70" w:type="dxa"/>
            <w:bottom w:w="0" w:type="dxa"/>
            <w:right w:w="70" w:type="dxa"/>
          </w:tblCellMar>
        </w:tblPrEx>
        <w:trPr>
          <w:cantSplit/>
        </w:trPr>
        <w:tc>
          <w:tcPr>
            <w:tcW w:w="9781" w:type="dxa"/>
            <w:gridSpan w:val="4"/>
            <w:tcBorders>
              <w:top w:val="single" w:color="auto" w:sz="4" w:space="0"/>
              <w:left w:val="single" w:color="auto" w:sz="4" w:space="0"/>
              <w:bottom w:val="single" w:color="auto" w:sz="4" w:space="0"/>
              <w:right w:val="single" w:color="auto" w:sz="4" w:space="0"/>
            </w:tcBorders>
            <w:shd w:val="clear" w:color="auto" w:fill="auto"/>
            <w:vAlign w:val="bottom"/>
          </w:tcPr>
          <w:p>
            <w:pPr>
              <w:pStyle w:val="200"/>
              <w:rPr>
                <w:lang w:eastAsia="fr-FR"/>
              </w:rPr>
            </w:pPr>
            <w:r>
              <w:rPr>
                <w:lang w:eastAsia="fr-FR"/>
              </w:rPr>
              <w:t>Regenerative Satellite</w:t>
            </w:r>
          </w:p>
        </w:tc>
      </w:tr>
      <w:tr>
        <w:tblPrEx>
          <w:tblLayout w:type="fixed"/>
          <w:tblCellMar>
            <w:top w:w="0" w:type="dxa"/>
            <w:left w:w="70" w:type="dxa"/>
            <w:bottom w:w="0" w:type="dxa"/>
            <w:right w:w="70" w:type="dxa"/>
          </w:tblCellMar>
        </w:tblPrEx>
        <w:trPr>
          <w:cantSplit/>
        </w:trPr>
        <w:tc>
          <w:tcPr>
            <w:tcW w:w="1930" w:type="dxa"/>
            <w:tcBorders>
              <w:top w:val="single" w:color="auto" w:sz="4" w:space="0"/>
              <w:left w:val="single" w:color="auto" w:sz="4" w:space="0"/>
              <w:bottom w:val="single" w:color="auto" w:sz="4" w:space="0"/>
              <w:right w:val="single" w:color="auto" w:sz="4" w:space="0"/>
            </w:tcBorders>
            <w:shd w:val="clear" w:color="auto" w:fill="auto"/>
            <w:vAlign w:val="bottom"/>
          </w:tcPr>
          <w:p>
            <w:pPr>
              <w:pStyle w:val="104"/>
              <w:rPr>
                <w:lang w:eastAsia="fr-FR"/>
              </w:rPr>
            </w:pPr>
            <w:r>
              <w:rPr>
                <w:lang w:eastAsia="fr-FR"/>
              </w:rPr>
              <w:t>One way delay</w:t>
            </w:r>
          </w:p>
        </w:tc>
        <w:tc>
          <w:tcPr>
            <w:tcW w:w="3159" w:type="dxa"/>
            <w:tcBorders>
              <w:top w:val="single" w:color="auto" w:sz="4" w:space="0"/>
              <w:left w:val="nil"/>
              <w:bottom w:val="single" w:color="auto" w:sz="4" w:space="0"/>
              <w:right w:val="single" w:color="auto" w:sz="4" w:space="0"/>
            </w:tcBorders>
            <w:shd w:val="clear" w:color="auto" w:fill="auto"/>
            <w:vAlign w:val="bottom"/>
          </w:tcPr>
          <w:p>
            <w:pPr>
              <w:pStyle w:val="104"/>
              <w:rPr>
                <w:lang w:eastAsia="fr-FR"/>
              </w:rPr>
            </w:pPr>
            <w:r>
              <w:rPr>
                <w:lang w:eastAsia="fr-FR"/>
              </w:rPr>
              <w:t>Satellite -UE</w:t>
            </w:r>
          </w:p>
        </w:tc>
        <w:tc>
          <w:tcPr>
            <w:tcW w:w="2658" w:type="dxa"/>
            <w:tcBorders>
              <w:top w:val="single" w:color="auto" w:sz="4" w:space="0"/>
              <w:left w:val="nil"/>
              <w:bottom w:val="single" w:color="auto" w:sz="4" w:space="0"/>
              <w:right w:val="single" w:color="auto" w:sz="4" w:space="0"/>
            </w:tcBorders>
            <w:shd w:val="clear" w:color="auto" w:fill="auto"/>
            <w:vAlign w:val="center"/>
          </w:tcPr>
          <w:p>
            <w:pPr>
              <w:pStyle w:val="104"/>
              <w:rPr>
                <w:lang w:eastAsia="fr-FR"/>
              </w:rPr>
            </w:pPr>
            <w:r>
              <w:rPr>
                <w:lang w:eastAsia="fr-FR"/>
              </w:rPr>
              <w:t>40586</w:t>
            </w:r>
          </w:p>
        </w:tc>
        <w:tc>
          <w:tcPr>
            <w:tcW w:w="2034" w:type="dxa"/>
            <w:tcBorders>
              <w:top w:val="single" w:color="auto" w:sz="4" w:space="0"/>
              <w:left w:val="nil"/>
              <w:bottom w:val="single" w:color="auto" w:sz="4" w:space="0"/>
              <w:right w:val="single" w:color="auto" w:sz="4" w:space="0"/>
            </w:tcBorders>
            <w:shd w:val="clear" w:color="auto" w:fill="auto"/>
            <w:vAlign w:val="center"/>
          </w:tcPr>
          <w:p>
            <w:pPr>
              <w:pStyle w:val="104"/>
              <w:rPr>
                <w:lang w:eastAsia="fr-FR"/>
              </w:rPr>
            </w:pPr>
            <w:r>
              <w:rPr>
                <w:lang w:eastAsia="fr-FR"/>
              </w:rPr>
              <w:t>135.286</w:t>
            </w:r>
          </w:p>
        </w:tc>
      </w:tr>
      <w:tr>
        <w:tblPrEx>
          <w:tblLayout w:type="fixed"/>
          <w:tblCellMar>
            <w:top w:w="0" w:type="dxa"/>
            <w:left w:w="70" w:type="dxa"/>
            <w:bottom w:w="0" w:type="dxa"/>
            <w:right w:w="70" w:type="dxa"/>
          </w:tblCellMar>
        </w:tblPrEx>
        <w:trPr>
          <w:cantSplit/>
        </w:trPr>
        <w:tc>
          <w:tcPr>
            <w:tcW w:w="1930" w:type="dxa"/>
            <w:tcBorders>
              <w:top w:val="single" w:color="auto" w:sz="4" w:space="0"/>
              <w:left w:val="single" w:color="auto" w:sz="4" w:space="0"/>
              <w:bottom w:val="single" w:color="auto" w:sz="4" w:space="0"/>
              <w:right w:val="single" w:color="auto" w:sz="4" w:space="0"/>
            </w:tcBorders>
            <w:shd w:val="clear" w:color="auto" w:fill="auto"/>
            <w:vAlign w:val="bottom"/>
          </w:tcPr>
          <w:p>
            <w:pPr>
              <w:pStyle w:val="104"/>
              <w:rPr>
                <w:lang w:eastAsia="fr-FR"/>
              </w:rPr>
            </w:pPr>
            <w:r>
              <w:rPr>
                <w:lang w:eastAsia="fr-FR"/>
              </w:rPr>
              <w:t>Round Trip Time</w:t>
            </w:r>
          </w:p>
        </w:tc>
        <w:tc>
          <w:tcPr>
            <w:tcW w:w="3159" w:type="dxa"/>
            <w:tcBorders>
              <w:top w:val="single" w:color="auto" w:sz="4" w:space="0"/>
              <w:left w:val="nil"/>
              <w:bottom w:val="single" w:color="auto" w:sz="4" w:space="0"/>
              <w:right w:val="single" w:color="auto" w:sz="4" w:space="0"/>
            </w:tcBorders>
            <w:shd w:val="clear" w:color="auto" w:fill="auto"/>
            <w:vAlign w:val="bottom"/>
          </w:tcPr>
          <w:p>
            <w:pPr>
              <w:pStyle w:val="104"/>
              <w:rPr>
                <w:lang w:eastAsia="fr-FR"/>
              </w:rPr>
            </w:pPr>
            <w:r>
              <w:rPr>
                <w:lang w:eastAsia="fr-FR"/>
              </w:rPr>
              <w:t>Satellite-UE-Satellite</w:t>
            </w:r>
          </w:p>
        </w:tc>
        <w:tc>
          <w:tcPr>
            <w:tcW w:w="2658" w:type="dxa"/>
            <w:tcBorders>
              <w:top w:val="single" w:color="auto" w:sz="4" w:space="0"/>
              <w:left w:val="nil"/>
              <w:bottom w:val="single" w:color="auto" w:sz="4" w:space="0"/>
              <w:right w:val="single" w:color="auto" w:sz="4" w:space="0"/>
            </w:tcBorders>
            <w:shd w:val="clear" w:color="auto" w:fill="auto"/>
            <w:vAlign w:val="center"/>
          </w:tcPr>
          <w:p>
            <w:pPr>
              <w:pStyle w:val="104"/>
              <w:rPr>
                <w:lang w:eastAsia="fr-FR"/>
              </w:rPr>
            </w:pPr>
            <w:r>
              <w:rPr>
                <w:lang w:eastAsia="fr-FR"/>
              </w:rPr>
              <w:t>81172</w:t>
            </w:r>
          </w:p>
        </w:tc>
        <w:tc>
          <w:tcPr>
            <w:tcW w:w="2034" w:type="dxa"/>
            <w:tcBorders>
              <w:top w:val="single" w:color="auto" w:sz="4" w:space="0"/>
              <w:left w:val="nil"/>
              <w:bottom w:val="single" w:color="auto" w:sz="4" w:space="0"/>
              <w:right w:val="single" w:color="auto" w:sz="4" w:space="0"/>
            </w:tcBorders>
            <w:shd w:val="clear" w:color="auto" w:fill="auto"/>
            <w:vAlign w:val="center"/>
          </w:tcPr>
          <w:p>
            <w:pPr>
              <w:pStyle w:val="104"/>
              <w:rPr>
                <w:lang w:eastAsia="fr-FR"/>
              </w:rPr>
            </w:pPr>
            <w:r>
              <w:rPr>
                <w:lang w:eastAsia="fr-FR"/>
              </w:rPr>
              <w:t>270.572</w:t>
            </w:r>
          </w:p>
        </w:tc>
      </w:tr>
    </w:tbl>
    <w:p>
      <w:pPr>
        <w:numPr>
          <w:ilvl w:val="0"/>
          <w:numId w:val="0"/>
        </w:numPr>
        <w:tabs>
          <w:tab w:val="left" w:pos="840"/>
        </w:tabs>
        <w:ind w:leftChars="0"/>
        <w:rPr>
          <w:rFonts w:hint="eastAsia"/>
          <w:lang w:val="en-US" w:eastAsia="zh-CN"/>
        </w:rPr>
      </w:pPr>
    </w:p>
    <w:p>
      <w:pPr>
        <w:numPr>
          <w:ilvl w:val="0"/>
          <w:numId w:val="0"/>
        </w:numPr>
        <w:tabs>
          <w:tab w:val="left" w:pos="840"/>
        </w:tabs>
        <w:ind w:leftChars="0"/>
        <w:rPr>
          <w:rFonts w:hint="eastAsia"/>
          <w:lang w:val="en-US" w:eastAsia="zh-CN"/>
        </w:rPr>
      </w:pPr>
    </w:p>
    <w:p>
      <w:pPr>
        <w:pStyle w:val="88"/>
      </w:pPr>
      <w:r>
        <w:t xml:space="preserve">Table </w:t>
      </w:r>
      <w:r>
        <w:rPr>
          <w:lang w:eastAsia="zh-CN"/>
        </w:rPr>
        <w:t>5.3.4.1-1</w:t>
      </w:r>
      <w:r>
        <w:t>: Propagation delays for different NGSO satellites (altitude and payload types)</w:t>
      </w:r>
    </w:p>
    <w:tbl>
      <w:tblPr>
        <w:tblStyle w:val="64"/>
        <w:tblW w:w="9781" w:type="dxa"/>
        <w:tblInd w:w="0" w:type="dxa"/>
        <w:tblLayout w:type="fixed"/>
        <w:tblCellMar>
          <w:top w:w="0" w:type="dxa"/>
          <w:left w:w="70" w:type="dxa"/>
          <w:bottom w:w="0" w:type="dxa"/>
          <w:right w:w="70" w:type="dxa"/>
        </w:tblCellMar>
      </w:tblPr>
      <w:tblGrid>
        <w:gridCol w:w="981"/>
        <w:gridCol w:w="2150"/>
        <w:gridCol w:w="1111"/>
        <w:gridCol w:w="1109"/>
        <w:gridCol w:w="1109"/>
        <w:gridCol w:w="1109"/>
        <w:gridCol w:w="1109"/>
        <w:gridCol w:w="1103"/>
      </w:tblGrid>
      <w:tr>
        <w:tblPrEx>
          <w:tblLayout w:type="fixed"/>
          <w:tblCellMar>
            <w:top w:w="0" w:type="dxa"/>
            <w:left w:w="70" w:type="dxa"/>
            <w:bottom w:w="0" w:type="dxa"/>
            <w:right w:w="70" w:type="dxa"/>
          </w:tblCellMar>
        </w:tblPrEx>
        <w:trPr>
          <w:cantSplit/>
        </w:trPr>
        <w:tc>
          <w:tcPr>
            <w:tcW w:w="981" w:type="dxa"/>
            <w:tcBorders>
              <w:top w:val="single" w:color="auto" w:sz="4" w:space="0"/>
              <w:left w:val="single" w:color="auto" w:sz="4" w:space="0"/>
              <w:bottom w:val="single" w:color="auto" w:sz="4" w:space="0"/>
              <w:right w:val="single" w:color="auto" w:sz="4" w:space="0"/>
            </w:tcBorders>
            <w:shd w:val="clear" w:color="auto" w:fill="auto"/>
            <w:vAlign w:val="bottom"/>
          </w:tcPr>
          <w:p>
            <w:pPr>
              <w:pStyle w:val="199"/>
              <w:rPr>
                <w:lang w:eastAsia="fr-FR"/>
              </w:rPr>
            </w:pPr>
            <w:r>
              <w:rPr>
                <w:lang w:eastAsia="fr-FR"/>
              </w:rPr>
              <w:t> </w:t>
            </w:r>
          </w:p>
        </w:tc>
        <w:tc>
          <w:tcPr>
            <w:tcW w:w="2150" w:type="dxa"/>
            <w:tcBorders>
              <w:top w:val="single" w:color="auto" w:sz="4" w:space="0"/>
              <w:left w:val="nil"/>
              <w:bottom w:val="single" w:color="auto" w:sz="4" w:space="0"/>
              <w:right w:val="single" w:color="auto" w:sz="4" w:space="0"/>
            </w:tcBorders>
            <w:shd w:val="clear" w:color="auto" w:fill="auto"/>
            <w:vAlign w:val="bottom"/>
          </w:tcPr>
          <w:p>
            <w:pPr>
              <w:pStyle w:val="199"/>
              <w:rPr>
                <w:lang w:eastAsia="fr-FR"/>
              </w:rPr>
            </w:pPr>
            <w:r>
              <w:rPr>
                <w:lang w:eastAsia="fr-FR"/>
              </w:rPr>
              <w:t> </w:t>
            </w:r>
          </w:p>
        </w:tc>
        <w:tc>
          <w:tcPr>
            <w:tcW w:w="2220" w:type="dxa"/>
            <w:gridSpan w:val="2"/>
            <w:tcBorders>
              <w:top w:val="single" w:color="auto" w:sz="4" w:space="0"/>
              <w:left w:val="nil"/>
              <w:bottom w:val="single" w:color="auto" w:sz="4" w:space="0"/>
              <w:right w:val="single" w:color="auto" w:sz="4" w:space="0"/>
            </w:tcBorders>
            <w:shd w:val="clear" w:color="auto" w:fill="auto"/>
            <w:vAlign w:val="bottom"/>
          </w:tcPr>
          <w:p>
            <w:pPr>
              <w:pStyle w:val="199"/>
              <w:rPr>
                <w:lang w:val="fr-FR" w:eastAsia="fr-FR"/>
              </w:rPr>
            </w:pPr>
            <w:r>
              <w:rPr>
                <w:lang w:val="fr-FR" w:eastAsia="fr-FR"/>
              </w:rPr>
              <w:t>LEO at 600 km</w:t>
            </w:r>
          </w:p>
        </w:tc>
        <w:tc>
          <w:tcPr>
            <w:tcW w:w="2218" w:type="dxa"/>
            <w:gridSpan w:val="2"/>
            <w:tcBorders>
              <w:top w:val="single" w:color="auto" w:sz="4" w:space="0"/>
              <w:left w:val="nil"/>
              <w:bottom w:val="single" w:color="auto" w:sz="4" w:space="0"/>
              <w:right w:val="single" w:color="auto" w:sz="4" w:space="0"/>
            </w:tcBorders>
            <w:shd w:val="clear" w:color="auto" w:fill="auto"/>
            <w:vAlign w:val="bottom"/>
          </w:tcPr>
          <w:p>
            <w:pPr>
              <w:pStyle w:val="199"/>
              <w:rPr>
                <w:lang w:val="fr-FR" w:eastAsia="fr-FR"/>
              </w:rPr>
            </w:pPr>
            <w:r>
              <w:rPr>
                <w:lang w:val="fr-FR" w:eastAsia="fr-FR"/>
              </w:rPr>
              <w:t>LEO at 1500 km</w:t>
            </w:r>
          </w:p>
        </w:tc>
        <w:tc>
          <w:tcPr>
            <w:tcW w:w="2212" w:type="dxa"/>
            <w:gridSpan w:val="2"/>
            <w:tcBorders>
              <w:top w:val="single" w:color="auto" w:sz="4" w:space="0"/>
              <w:left w:val="nil"/>
              <w:bottom w:val="single" w:color="auto" w:sz="4" w:space="0"/>
              <w:right w:val="single" w:color="auto" w:sz="4" w:space="0"/>
            </w:tcBorders>
            <w:shd w:val="clear" w:color="auto" w:fill="auto"/>
            <w:vAlign w:val="bottom"/>
          </w:tcPr>
          <w:p>
            <w:pPr>
              <w:pStyle w:val="199"/>
              <w:rPr>
                <w:lang w:val="fr-FR" w:eastAsia="fr-FR"/>
              </w:rPr>
            </w:pPr>
            <w:r>
              <w:rPr>
                <w:lang w:val="fr-FR" w:eastAsia="fr-FR"/>
              </w:rPr>
              <w:t>MEO at 10000 km</w:t>
            </w:r>
          </w:p>
        </w:tc>
      </w:tr>
      <w:tr>
        <w:tblPrEx>
          <w:tblLayout w:type="fixed"/>
          <w:tblCellMar>
            <w:top w:w="0" w:type="dxa"/>
            <w:left w:w="70" w:type="dxa"/>
            <w:bottom w:w="0" w:type="dxa"/>
            <w:right w:w="70" w:type="dxa"/>
          </w:tblCellMar>
        </w:tblPrEx>
        <w:trPr>
          <w:cantSplit/>
        </w:trPr>
        <w:tc>
          <w:tcPr>
            <w:tcW w:w="981" w:type="dxa"/>
            <w:tcBorders>
              <w:top w:val="nil"/>
              <w:left w:val="single" w:color="auto" w:sz="4" w:space="0"/>
              <w:bottom w:val="single" w:color="auto" w:sz="4" w:space="0"/>
              <w:right w:val="single" w:color="auto" w:sz="4" w:space="0"/>
            </w:tcBorders>
            <w:shd w:val="clear" w:color="auto" w:fill="auto"/>
            <w:vAlign w:val="bottom"/>
          </w:tcPr>
          <w:p>
            <w:pPr>
              <w:pStyle w:val="199"/>
              <w:rPr>
                <w:lang w:eastAsia="fr-FR"/>
              </w:rPr>
            </w:pPr>
            <w:r>
              <w:rPr>
                <w:lang w:eastAsia="fr-FR"/>
              </w:rPr>
              <w:t>Elevation angle</w:t>
            </w:r>
          </w:p>
        </w:tc>
        <w:tc>
          <w:tcPr>
            <w:tcW w:w="2150" w:type="dxa"/>
            <w:tcBorders>
              <w:top w:val="nil"/>
              <w:left w:val="nil"/>
              <w:bottom w:val="single" w:color="auto" w:sz="4" w:space="0"/>
              <w:right w:val="single" w:color="auto" w:sz="4" w:space="0"/>
            </w:tcBorders>
            <w:shd w:val="clear" w:color="auto" w:fill="auto"/>
            <w:vAlign w:val="bottom"/>
          </w:tcPr>
          <w:p>
            <w:pPr>
              <w:pStyle w:val="199"/>
              <w:rPr>
                <w:lang w:eastAsia="fr-FR"/>
              </w:rPr>
            </w:pPr>
            <w:r>
              <w:rPr>
                <w:lang w:eastAsia="fr-FR"/>
              </w:rPr>
              <w:t>Path</w:t>
            </w:r>
          </w:p>
        </w:tc>
        <w:tc>
          <w:tcPr>
            <w:tcW w:w="1111" w:type="dxa"/>
            <w:tcBorders>
              <w:top w:val="nil"/>
              <w:left w:val="nil"/>
              <w:bottom w:val="single" w:color="auto" w:sz="4" w:space="0"/>
              <w:right w:val="single" w:color="auto" w:sz="4" w:space="0"/>
            </w:tcBorders>
            <w:shd w:val="clear" w:color="auto" w:fill="auto"/>
            <w:vAlign w:val="bottom"/>
          </w:tcPr>
          <w:p>
            <w:pPr>
              <w:pStyle w:val="199"/>
              <w:rPr>
                <w:lang w:val="fr-FR" w:eastAsia="fr-FR"/>
              </w:rPr>
            </w:pPr>
            <w:r>
              <w:rPr>
                <w:lang w:val="fr-FR" w:eastAsia="fr-FR"/>
              </w:rPr>
              <w:t>Distance D (km)</w:t>
            </w:r>
          </w:p>
        </w:tc>
        <w:tc>
          <w:tcPr>
            <w:tcW w:w="1109" w:type="dxa"/>
            <w:tcBorders>
              <w:top w:val="nil"/>
              <w:left w:val="nil"/>
              <w:bottom w:val="single" w:color="auto" w:sz="4" w:space="0"/>
              <w:right w:val="single" w:color="auto" w:sz="4" w:space="0"/>
            </w:tcBorders>
            <w:shd w:val="clear" w:color="auto" w:fill="auto"/>
            <w:vAlign w:val="bottom"/>
          </w:tcPr>
          <w:p>
            <w:pPr>
              <w:pStyle w:val="199"/>
              <w:rPr>
                <w:lang w:val="fr-FR" w:eastAsia="fr-FR"/>
              </w:rPr>
            </w:pPr>
            <w:r>
              <w:rPr>
                <w:lang w:val="fr-FR" w:eastAsia="fr-FR"/>
              </w:rPr>
              <w:t>Delay (ms)</w:t>
            </w:r>
          </w:p>
        </w:tc>
        <w:tc>
          <w:tcPr>
            <w:tcW w:w="1109" w:type="dxa"/>
            <w:tcBorders>
              <w:top w:val="nil"/>
              <w:left w:val="nil"/>
              <w:bottom w:val="single" w:color="auto" w:sz="4" w:space="0"/>
              <w:right w:val="single" w:color="auto" w:sz="4" w:space="0"/>
            </w:tcBorders>
            <w:shd w:val="clear" w:color="auto" w:fill="auto"/>
            <w:vAlign w:val="bottom"/>
          </w:tcPr>
          <w:p>
            <w:pPr>
              <w:pStyle w:val="199"/>
              <w:rPr>
                <w:lang w:val="fr-FR" w:eastAsia="fr-FR"/>
              </w:rPr>
            </w:pPr>
            <w:r>
              <w:rPr>
                <w:lang w:val="fr-FR" w:eastAsia="fr-FR"/>
              </w:rPr>
              <w:t>Distance D (km)</w:t>
            </w:r>
          </w:p>
        </w:tc>
        <w:tc>
          <w:tcPr>
            <w:tcW w:w="1109" w:type="dxa"/>
            <w:tcBorders>
              <w:top w:val="nil"/>
              <w:left w:val="nil"/>
              <w:bottom w:val="single" w:color="auto" w:sz="4" w:space="0"/>
              <w:right w:val="single" w:color="auto" w:sz="4" w:space="0"/>
            </w:tcBorders>
            <w:shd w:val="clear" w:color="auto" w:fill="auto"/>
            <w:vAlign w:val="bottom"/>
          </w:tcPr>
          <w:p>
            <w:pPr>
              <w:pStyle w:val="199"/>
              <w:rPr>
                <w:lang w:val="fr-FR" w:eastAsia="fr-FR"/>
              </w:rPr>
            </w:pPr>
            <w:r>
              <w:rPr>
                <w:lang w:val="fr-FR" w:eastAsia="fr-FR"/>
              </w:rPr>
              <w:t>Delay (ms)</w:t>
            </w:r>
          </w:p>
        </w:tc>
        <w:tc>
          <w:tcPr>
            <w:tcW w:w="1109" w:type="dxa"/>
            <w:tcBorders>
              <w:top w:val="nil"/>
              <w:left w:val="nil"/>
              <w:bottom w:val="single" w:color="auto" w:sz="4" w:space="0"/>
              <w:right w:val="single" w:color="auto" w:sz="4" w:space="0"/>
            </w:tcBorders>
            <w:shd w:val="clear" w:color="auto" w:fill="auto"/>
            <w:vAlign w:val="bottom"/>
          </w:tcPr>
          <w:p>
            <w:pPr>
              <w:pStyle w:val="199"/>
              <w:rPr>
                <w:lang w:val="fr-FR" w:eastAsia="fr-FR"/>
              </w:rPr>
            </w:pPr>
            <w:r>
              <w:rPr>
                <w:lang w:val="fr-FR" w:eastAsia="fr-FR"/>
              </w:rPr>
              <w:t>Distance D (km)</w:t>
            </w:r>
          </w:p>
        </w:tc>
        <w:tc>
          <w:tcPr>
            <w:tcW w:w="1103" w:type="dxa"/>
            <w:tcBorders>
              <w:top w:val="nil"/>
              <w:left w:val="nil"/>
              <w:bottom w:val="single" w:color="auto" w:sz="4" w:space="0"/>
              <w:right w:val="single" w:color="auto" w:sz="4" w:space="0"/>
            </w:tcBorders>
            <w:shd w:val="clear" w:color="auto" w:fill="auto"/>
            <w:vAlign w:val="bottom"/>
          </w:tcPr>
          <w:p>
            <w:pPr>
              <w:pStyle w:val="199"/>
              <w:rPr>
                <w:lang w:val="fr-FR" w:eastAsia="fr-FR"/>
              </w:rPr>
            </w:pPr>
            <w:r>
              <w:rPr>
                <w:lang w:val="fr-FR" w:eastAsia="fr-FR"/>
              </w:rPr>
              <w:t>Delay (ms)</w:t>
            </w:r>
          </w:p>
        </w:tc>
      </w:tr>
      <w:tr>
        <w:tblPrEx>
          <w:tblLayout w:type="fixed"/>
          <w:tblCellMar>
            <w:top w:w="0" w:type="dxa"/>
            <w:left w:w="70" w:type="dxa"/>
            <w:bottom w:w="0" w:type="dxa"/>
            <w:right w:w="70" w:type="dxa"/>
          </w:tblCellMar>
        </w:tblPrEx>
        <w:trPr>
          <w:cantSplit/>
        </w:trPr>
        <w:tc>
          <w:tcPr>
            <w:tcW w:w="981" w:type="dxa"/>
            <w:tcBorders>
              <w:top w:val="nil"/>
              <w:left w:val="single" w:color="auto" w:sz="4" w:space="0"/>
              <w:bottom w:val="single" w:color="auto" w:sz="4" w:space="0"/>
              <w:right w:val="single" w:color="auto" w:sz="4" w:space="0"/>
            </w:tcBorders>
            <w:shd w:val="clear" w:color="auto" w:fill="auto"/>
            <w:vAlign w:val="center"/>
          </w:tcPr>
          <w:p>
            <w:pPr>
              <w:pStyle w:val="104"/>
              <w:rPr>
                <w:lang w:eastAsia="fr-FR"/>
              </w:rPr>
            </w:pPr>
            <w:r>
              <w:rPr>
                <w:lang w:eastAsia="fr-FR"/>
              </w:rPr>
              <w:t>UE: 10°</w:t>
            </w:r>
          </w:p>
        </w:tc>
        <w:tc>
          <w:tcPr>
            <w:tcW w:w="2150" w:type="dxa"/>
            <w:tcBorders>
              <w:top w:val="nil"/>
              <w:left w:val="nil"/>
              <w:bottom w:val="single" w:color="auto" w:sz="4" w:space="0"/>
              <w:right w:val="single" w:color="auto" w:sz="4" w:space="0"/>
            </w:tcBorders>
            <w:shd w:val="clear" w:color="auto" w:fill="auto"/>
            <w:vAlign w:val="center"/>
          </w:tcPr>
          <w:p>
            <w:pPr>
              <w:pStyle w:val="104"/>
              <w:rPr>
                <w:lang w:eastAsia="fr-FR"/>
              </w:rPr>
            </w:pPr>
            <w:r>
              <w:rPr>
                <w:lang w:eastAsia="fr-FR"/>
              </w:rPr>
              <w:t>satellite - UE</w:t>
            </w:r>
          </w:p>
        </w:tc>
        <w:tc>
          <w:tcPr>
            <w:tcW w:w="1111" w:type="dxa"/>
            <w:tcBorders>
              <w:top w:val="nil"/>
              <w:left w:val="nil"/>
              <w:bottom w:val="single" w:color="auto" w:sz="4" w:space="0"/>
              <w:right w:val="single" w:color="auto" w:sz="4" w:space="0"/>
            </w:tcBorders>
            <w:shd w:val="clear" w:color="auto" w:fill="auto"/>
            <w:vAlign w:val="center"/>
          </w:tcPr>
          <w:p>
            <w:pPr>
              <w:pStyle w:val="104"/>
              <w:rPr>
                <w:lang w:val="fr-FR" w:eastAsia="fr-FR"/>
              </w:rPr>
            </w:pPr>
            <w:r>
              <w:rPr>
                <w:lang w:val="fr-FR" w:eastAsia="fr-FR"/>
              </w:rPr>
              <w:t>1932.24</w:t>
            </w:r>
          </w:p>
        </w:tc>
        <w:tc>
          <w:tcPr>
            <w:tcW w:w="1109" w:type="dxa"/>
            <w:tcBorders>
              <w:top w:val="nil"/>
              <w:left w:val="nil"/>
              <w:bottom w:val="single" w:color="auto" w:sz="4" w:space="0"/>
              <w:right w:val="single" w:color="auto" w:sz="4" w:space="0"/>
            </w:tcBorders>
            <w:shd w:val="clear" w:color="auto" w:fill="auto"/>
            <w:vAlign w:val="center"/>
          </w:tcPr>
          <w:p>
            <w:pPr>
              <w:pStyle w:val="104"/>
              <w:rPr>
                <w:lang w:val="fr-FR" w:eastAsia="fr-FR"/>
              </w:rPr>
            </w:pPr>
            <w:r>
              <w:rPr>
                <w:lang w:val="fr-FR" w:eastAsia="fr-FR"/>
              </w:rPr>
              <w:t>6</w:t>
            </w:r>
            <w:r>
              <w:rPr>
                <w:rFonts w:hint="eastAsia" w:eastAsia="宋体"/>
                <w:lang w:val="en-US" w:eastAsia="zh-CN"/>
              </w:rPr>
              <w:t>.</w:t>
            </w:r>
            <w:r>
              <w:rPr>
                <w:lang w:val="fr-FR" w:eastAsia="fr-FR"/>
              </w:rPr>
              <w:t>440</w:t>
            </w:r>
          </w:p>
        </w:tc>
        <w:tc>
          <w:tcPr>
            <w:tcW w:w="1109" w:type="dxa"/>
            <w:tcBorders>
              <w:top w:val="nil"/>
              <w:left w:val="nil"/>
              <w:bottom w:val="single" w:color="auto" w:sz="4" w:space="0"/>
              <w:right w:val="single" w:color="auto" w:sz="4" w:space="0"/>
            </w:tcBorders>
            <w:shd w:val="clear" w:color="auto" w:fill="auto"/>
            <w:vAlign w:val="center"/>
          </w:tcPr>
          <w:p>
            <w:pPr>
              <w:pStyle w:val="104"/>
              <w:rPr>
                <w:lang w:val="fr-FR" w:eastAsia="fr-FR"/>
              </w:rPr>
            </w:pPr>
            <w:r>
              <w:rPr>
                <w:lang w:val="fr-FR" w:eastAsia="fr-FR"/>
              </w:rPr>
              <w:t>3647.5</w:t>
            </w:r>
          </w:p>
        </w:tc>
        <w:tc>
          <w:tcPr>
            <w:tcW w:w="1109" w:type="dxa"/>
            <w:tcBorders>
              <w:top w:val="nil"/>
              <w:left w:val="nil"/>
              <w:bottom w:val="single" w:color="auto" w:sz="4" w:space="0"/>
              <w:right w:val="single" w:color="auto" w:sz="4" w:space="0"/>
            </w:tcBorders>
            <w:shd w:val="clear" w:color="auto" w:fill="auto"/>
            <w:vAlign w:val="center"/>
          </w:tcPr>
          <w:p>
            <w:pPr>
              <w:pStyle w:val="104"/>
              <w:rPr>
                <w:lang w:val="fr-FR" w:eastAsia="fr-FR"/>
              </w:rPr>
            </w:pPr>
            <w:r>
              <w:rPr>
                <w:lang w:val="fr-FR" w:eastAsia="fr-FR"/>
              </w:rPr>
              <w:t>12</w:t>
            </w:r>
            <w:r>
              <w:rPr>
                <w:rFonts w:hint="eastAsia" w:eastAsia="宋体"/>
                <w:lang w:val="en-US" w:eastAsia="zh-CN"/>
              </w:rPr>
              <w:t>.</w:t>
            </w:r>
            <w:r>
              <w:rPr>
                <w:lang w:val="fr-FR" w:eastAsia="fr-FR"/>
              </w:rPr>
              <w:t>158</w:t>
            </w:r>
          </w:p>
        </w:tc>
        <w:tc>
          <w:tcPr>
            <w:tcW w:w="1109" w:type="dxa"/>
            <w:tcBorders>
              <w:top w:val="nil"/>
              <w:left w:val="nil"/>
              <w:bottom w:val="single" w:color="auto" w:sz="4" w:space="0"/>
              <w:right w:val="single" w:color="auto" w:sz="4" w:space="0"/>
            </w:tcBorders>
            <w:shd w:val="clear" w:color="auto" w:fill="auto"/>
            <w:vAlign w:val="center"/>
          </w:tcPr>
          <w:p>
            <w:pPr>
              <w:pStyle w:val="104"/>
              <w:rPr>
                <w:lang w:val="fr-FR" w:eastAsia="fr-FR"/>
              </w:rPr>
            </w:pPr>
            <w:r>
              <w:rPr>
                <w:lang w:val="fr-FR" w:eastAsia="fr-FR"/>
              </w:rPr>
              <w:t>14018.16</w:t>
            </w:r>
          </w:p>
        </w:tc>
        <w:tc>
          <w:tcPr>
            <w:tcW w:w="1103" w:type="dxa"/>
            <w:tcBorders>
              <w:top w:val="nil"/>
              <w:left w:val="nil"/>
              <w:bottom w:val="single" w:color="auto" w:sz="4" w:space="0"/>
              <w:right w:val="single" w:color="auto" w:sz="4" w:space="0"/>
            </w:tcBorders>
            <w:shd w:val="clear" w:color="auto" w:fill="auto"/>
            <w:vAlign w:val="center"/>
          </w:tcPr>
          <w:p>
            <w:pPr>
              <w:pStyle w:val="104"/>
              <w:rPr>
                <w:lang w:val="fr-FR" w:eastAsia="fr-FR"/>
              </w:rPr>
            </w:pPr>
            <w:r>
              <w:rPr>
                <w:lang w:val="fr-FR" w:eastAsia="fr-FR"/>
              </w:rPr>
              <w:t>46.727</w:t>
            </w:r>
          </w:p>
        </w:tc>
      </w:tr>
      <w:tr>
        <w:tblPrEx>
          <w:tblLayout w:type="fixed"/>
          <w:tblCellMar>
            <w:top w:w="0" w:type="dxa"/>
            <w:left w:w="70" w:type="dxa"/>
            <w:bottom w:w="0" w:type="dxa"/>
            <w:right w:w="70" w:type="dxa"/>
          </w:tblCellMar>
        </w:tblPrEx>
        <w:trPr>
          <w:cantSplit/>
        </w:trPr>
        <w:tc>
          <w:tcPr>
            <w:tcW w:w="981" w:type="dxa"/>
            <w:tcBorders>
              <w:top w:val="nil"/>
              <w:left w:val="single" w:color="auto" w:sz="4" w:space="0"/>
              <w:bottom w:val="single" w:color="auto" w:sz="4" w:space="0"/>
              <w:right w:val="single" w:color="auto" w:sz="4" w:space="0"/>
            </w:tcBorders>
            <w:shd w:val="clear" w:color="auto" w:fill="auto"/>
            <w:vAlign w:val="center"/>
          </w:tcPr>
          <w:p>
            <w:pPr>
              <w:pStyle w:val="104"/>
              <w:rPr>
                <w:lang w:eastAsia="fr-FR"/>
              </w:rPr>
            </w:pPr>
            <w:r>
              <w:rPr>
                <w:lang w:eastAsia="fr-FR"/>
              </w:rPr>
              <w:t>GW: 5°</w:t>
            </w:r>
          </w:p>
        </w:tc>
        <w:tc>
          <w:tcPr>
            <w:tcW w:w="2150" w:type="dxa"/>
            <w:tcBorders>
              <w:top w:val="nil"/>
              <w:left w:val="nil"/>
              <w:bottom w:val="single" w:color="auto" w:sz="4" w:space="0"/>
              <w:right w:val="single" w:color="auto" w:sz="4" w:space="0"/>
            </w:tcBorders>
            <w:shd w:val="clear" w:color="auto" w:fill="auto"/>
            <w:vAlign w:val="center"/>
          </w:tcPr>
          <w:p>
            <w:pPr>
              <w:pStyle w:val="104"/>
              <w:rPr>
                <w:lang w:eastAsia="fr-FR"/>
              </w:rPr>
            </w:pPr>
            <w:r>
              <w:rPr>
                <w:lang w:eastAsia="fr-FR"/>
              </w:rPr>
              <w:t>satellite - gateway</w:t>
            </w:r>
          </w:p>
        </w:tc>
        <w:tc>
          <w:tcPr>
            <w:tcW w:w="1111" w:type="dxa"/>
            <w:tcBorders>
              <w:top w:val="nil"/>
              <w:left w:val="nil"/>
              <w:bottom w:val="single" w:color="auto" w:sz="4" w:space="0"/>
              <w:right w:val="single" w:color="auto" w:sz="4" w:space="0"/>
            </w:tcBorders>
            <w:shd w:val="clear" w:color="auto" w:fill="auto"/>
            <w:vAlign w:val="center"/>
          </w:tcPr>
          <w:p>
            <w:pPr>
              <w:pStyle w:val="104"/>
              <w:rPr>
                <w:lang w:val="fr-FR" w:eastAsia="fr-FR"/>
              </w:rPr>
            </w:pPr>
            <w:r>
              <w:rPr>
                <w:lang w:val="fr-FR" w:eastAsia="fr-FR"/>
              </w:rPr>
              <w:t>2329.01</w:t>
            </w:r>
          </w:p>
        </w:tc>
        <w:tc>
          <w:tcPr>
            <w:tcW w:w="1109" w:type="dxa"/>
            <w:tcBorders>
              <w:top w:val="nil"/>
              <w:left w:val="nil"/>
              <w:bottom w:val="single" w:color="auto" w:sz="4" w:space="0"/>
              <w:right w:val="single" w:color="auto" w:sz="4" w:space="0"/>
            </w:tcBorders>
            <w:shd w:val="clear" w:color="auto" w:fill="auto"/>
            <w:vAlign w:val="center"/>
          </w:tcPr>
          <w:p>
            <w:pPr>
              <w:pStyle w:val="104"/>
              <w:rPr>
                <w:lang w:val="fr-FR" w:eastAsia="fr-FR"/>
              </w:rPr>
            </w:pPr>
            <w:r>
              <w:rPr>
                <w:lang w:val="fr-FR" w:eastAsia="fr-FR"/>
              </w:rPr>
              <w:t>7.763</w:t>
            </w:r>
          </w:p>
        </w:tc>
        <w:tc>
          <w:tcPr>
            <w:tcW w:w="1109" w:type="dxa"/>
            <w:tcBorders>
              <w:top w:val="nil"/>
              <w:left w:val="nil"/>
              <w:bottom w:val="single" w:color="auto" w:sz="4" w:space="0"/>
              <w:right w:val="single" w:color="auto" w:sz="4" w:space="0"/>
            </w:tcBorders>
            <w:shd w:val="clear" w:color="auto" w:fill="auto"/>
            <w:vAlign w:val="center"/>
          </w:tcPr>
          <w:p>
            <w:pPr>
              <w:pStyle w:val="104"/>
              <w:rPr>
                <w:lang w:val="fr-FR" w:eastAsia="fr-FR"/>
              </w:rPr>
            </w:pPr>
            <w:r>
              <w:rPr>
                <w:lang w:val="fr-FR" w:eastAsia="fr-FR"/>
              </w:rPr>
              <w:t>4101.6</w:t>
            </w:r>
          </w:p>
        </w:tc>
        <w:tc>
          <w:tcPr>
            <w:tcW w:w="1109" w:type="dxa"/>
            <w:tcBorders>
              <w:top w:val="nil"/>
              <w:left w:val="nil"/>
              <w:bottom w:val="single" w:color="auto" w:sz="4" w:space="0"/>
              <w:right w:val="single" w:color="auto" w:sz="4" w:space="0"/>
            </w:tcBorders>
            <w:shd w:val="clear" w:color="auto" w:fill="auto"/>
            <w:vAlign w:val="center"/>
          </w:tcPr>
          <w:p>
            <w:pPr>
              <w:pStyle w:val="104"/>
              <w:rPr>
                <w:lang w:val="fr-FR" w:eastAsia="fr-FR"/>
              </w:rPr>
            </w:pPr>
            <w:r>
              <w:rPr>
                <w:lang w:val="fr-FR" w:eastAsia="fr-FR"/>
              </w:rPr>
              <w:t>13.672</w:t>
            </w:r>
          </w:p>
        </w:tc>
        <w:tc>
          <w:tcPr>
            <w:tcW w:w="1109" w:type="dxa"/>
            <w:tcBorders>
              <w:top w:val="nil"/>
              <w:left w:val="nil"/>
              <w:bottom w:val="single" w:color="auto" w:sz="4" w:space="0"/>
              <w:right w:val="single" w:color="auto" w:sz="4" w:space="0"/>
            </w:tcBorders>
            <w:shd w:val="clear" w:color="auto" w:fill="auto"/>
            <w:vAlign w:val="center"/>
          </w:tcPr>
          <w:p>
            <w:pPr>
              <w:pStyle w:val="104"/>
              <w:rPr>
                <w:lang w:val="fr-FR" w:eastAsia="fr-FR"/>
              </w:rPr>
            </w:pPr>
            <w:r>
              <w:rPr>
                <w:lang w:val="fr-FR" w:eastAsia="fr-FR"/>
              </w:rPr>
              <w:t>14539.4</w:t>
            </w:r>
          </w:p>
        </w:tc>
        <w:tc>
          <w:tcPr>
            <w:tcW w:w="1103" w:type="dxa"/>
            <w:tcBorders>
              <w:top w:val="nil"/>
              <w:left w:val="nil"/>
              <w:bottom w:val="single" w:color="auto" w:sz="4" w:space="0"/>
              <w:right w:val="single" w:color="auto" w:sz="4" w:space="0"/>
            </w:tcBorders>
            <w:shd w:val="clear" w:color="auto" w:fill="auto"/>
            <w:vAlign w:val="center"/>
          </w:tcPr>
          <w:p>
            <w:pPr>
              <w:pStyle w:val="104"/>
              <w:rPr>
                <w:lang w:val="fr-FR" w:eastAsia="fr-FR"/>
              </w:rPr>
            </w:pPr>
            <w:r>
              <w:rPr>
                <w:lang w:val="fr-FR" w:eastAsia="fr-FR"/>
              </w:rPr>
              <w:t>48.464</w:t>
            </w:r>
          </w:p>
        </w:tc>
      </w:tr>
      <w:tr>
        <w:tblPrEx>
          <w:tblLayout w:type="fixed"/>
          <w:tblCellMar>
            <w:top w:w="0" w:type="dxa"/>
            <w:left w:w="70" w:type="dxa"/>
            <w:bottom w:w="0" w:type="dxa"/>
            <w:right w:w="70" w:type="dxa"/>
          </w:tblCellMar>
        </w:tblPrEx>
        <w:trPr>
          <w:cantSplit/>
        </w:trPr>
        <w:tc>
          <w:tcPr>
            <w:tcW w:w="981" w:type="dxa"/>
            <w:tcBorders>
              <w:top w:val="nil"/>
              <w:left w:val="single" w:color="auto" w:sz="4" w:space="0"/>
              <w:bottom w:val="single" w:color="auto" w:sz="4" w:space="0"/>
              <w:right w:val="single" w:color="auto" w:sz="4" w:space="0"/>
            </w:tcBorders>
            <w:shd w:val="clear" w:color="auto" w:fill="auto"/>
            <w:vAlign w:val="bottom"/>
          </w:tcPr>
          <w:p>
            <w:pPr>
              <w:pStyle w:val="104"/>
              <w:rPr>
                <w:lang w:eastAsia="fr-FR"/>
              </w:rPr>
            </w:pPr>
            <w:r>
              <w:rPr>
                <w:lang w:eastAsia="fr-FR"/>
              </w:rPr>
              <w:t>90°</w:t>
            </w:r>
          </w:p>
        </w:tc>
        <w:tc>
          <w:tcPr>
            <w:tcW w:w="2150" w:type="dxa"/>
            <w:tcBorders>
              <w:top w:val="nil"/>
              <w:left w:val="nil"/>
              <w:bottom w:val="single" w:color="auto" w:sz="4" w:space="0"/>
              <w:right w:val="single" w:color="auto" w:sz="4" w:space="0"/>
            </w:tcBorders>
            <w:shd w:val="clear" w:color="auto" w:fill="auto"/>
            <w:vAlign w:val="bottom"/>
          </w:tcPr>
          <w:p>
            <w:pPr>
              <w:pStyle w:val="104"/>
              <w:rPr>
                <w:lang w:eastAsia="fr-FR"/>
              </w:rPr>
            </w:pPr>
            <w:r>
              <w:rPr>
                <w:lang w:eastAsia="fr-FR"/>
              </w:rPr>
              <w:t>satellite - UE</w:t>
            </w:r>
          </w:p>
        </w:tc>
        <w:tc>
          <w:tcPr>
            <w:tcW w:w="1111" w:type="dxa"/>
            <w:tcBorders>
              <w:top w:val="nil"/>
              <w:left w:val="nil"/>
              <w:bottom w:val="single" w:color="auto" w:sz="4" w:space="0"/>
              <w:right w:val="single" w:color="auto" w:sz="4" w:space="0"/>
            </w:tcBorders>
            <w:shd w:val="clear" w:color="auto" w:fill="auto"/>
            <w:vAlign w:val="bottom"/>
          </w:tcPr>
          <w:p>
            <w:pPr>
              <w:pStyle w:val="104"/>
              <w:rPr>
                <w:lang w:val="fr-FR" w:eastAsia="fr-FR"/>
              </w:rPr>
            </w:pPr>
            <w:r>
              <w:rPr>
                <w:lang w:val="fr-FR" w:eastAsia="fr-FR"/>
              </w:rPr>
              <w:t>600</w:t>
            </w:r>
          </w:p>
        </w:tc>
        <w:tc>
          <w:tcPr>
            <w:tcW w:w="1109" w:type="dxa"/>
            <w:tcBorders>
              <w:top w:val="nil"/>
              <w:left w:val="nil"/>
              <w:bottom w:val="single" w:color="auto" w:sz="4" w:space="0"/>
              <w:right w:val="single" w:color="auto" w:sz="4" w:space="0"/>
            </w:tcBorders>
            <w:shd w:val="clear" w:color="auto" w:fill="auto"/>
            <w:vAlign w:val="bottom"/>
          </w:tcPr>
          <w:p>
            <w:pPr>
              <w:pStyle w:val="104"/>
              <w:rPr>
                <w:lang w:val="fr-FR" w:eastAsia="fr-FR"/>
              </w:rPr>
            </w:pPr>
            <w:r>
              <w:rPr>
                <w:lang w:val="fr-FR" w:eastAsia="fr-FR"/>
              </w:rPr>
              <w:t>2</w:t>
            </w:r>
          </w:p>
        </w:tc>
        <w:tc>
          <w:tcPr>
            <w:tcW w:w="1109" w:type="dxa"/>
            <w:tcBorders>
              <w:top w:val="nil"/>
              <w:left w:val="nil"/>
              <w:bottom w:val="single" w:color="auto" w:sz="4" w:space="0"/>
              <w:right w:val="single" w:color="auto" w:sz="4" w:space="0"/>
            </w:tcBorders>
            <w:shd w:val="clear" w:color="auto" w:fill="auto"/>
            <w:vAlign w:val="bottom"/>
          </w:tcPr>
          <w:p>
            <w:pPr>
              <w:pStyle w:val="104"/>
              <w:rPr>
                <w:lang w:val="fr-FR" w:eastAsia="fr-FR"/>
              </w:rPr>
            </w:pPr>
            <w:r>
              <w:rPr>
                <w:lang w:val="fr-FR" w:eastAsia="fr-FR"/>
              </w:rPr>
              <w:t>1500</w:t>
            </w:r>
          </w:p>
        </w:tc>
        <w:tc>
          <w:tcPr>
            <w:tcW w:w="1109" w:type="dxa"/>
            <w:tcBorders>
              <w:top w:val="nil"/>
              <w:left w:val="nil"/>
              <w:bottom w:val="single" w:color="auto" w:sz="4" w:space="0"/>
              <w:right w:val="single" w:color="auto" w:sz="4" w:space="0"/>
            </w:tcBorders>
            <w:shd w:val="clear" w:color="auto" w:fill="auto"/>
            <w:vAlign w:val="bottom"/>
          </w:tcPr>
          <w:p>
            <w:pPr>
              <w:pStyle w:val="104"/>
              <w:rPr>
                <w:lang w:val="fr-FR" w:eastAsia="fr-FR"/>
              </w:rPr>
            </w:pPr>
            <w:r>
              <w:rPr>
                <w:lang w:val="fr-FR" w:eastAsia="fr-FR"/>
              </w:rPr>
              <w:t>5</w:t>
            </w:r>
          </w:p>
        </w:tc>
        <w:tc>
          <w:tcPr>
            <w:tcW w:w="1109" w:type="dxa"/>
            <w:tcBorders>
              <w:top w:val="nil"/>
              <w:left w:val="nil"/>
              <w:bottom w:val="single" w:color="auto" w:sz="4" w:space="0"/>
              <w:right w:val="single" w:color="auto" w:sz="4" w:space="0"/>
            </w:tcBorders>
            <w:shd w:val="clear" w:color="auto" w:fill="auto"/>
            <w:vAlign w:val="bottom"/>
          </w:tcPr>
          <w:p>
            <w:pPr>
              <w:pStyle w:val="104"/>
              <w:rPr>
                <w:lang w:val="fr-FR" w:eastAsia="fr-FR"/>
              </w:rPr>
            </w:pPr>
            <w:r>
              <w:rPr>
                <w:lang w:val="fr-FR" w:eastAsia="fr-FR"/>
              </w:rPr>
              <w:t>10000</w:t>
            </w:r>
          </w:p>
        </w:tc>
        <w:tc>
          <w:tcPr>
            <w:tcW w:w="1103" w:type="dxa"/>
            <w:tcBorders>
              <w:top w:val="nil"/>
              <w:left w:val="nil"/>
              <w:bottom w:val="single" w:color="auto" w:sz="4" w:space="0"/>
              <w:right w:val="single" w:color="auto" w:sz="4" w:space="0"/>
            </w:tcBorders>
            <w:shd w:val="clear" w:color="auto" w:fill="auto"/>
            <w:vAlign w:val="bottom"/>
          </w:tcPr>
          <w:p>
            <w:pPr>
              <w:pStyle w:val="104"/>
              <w:rPr>
                <w:lang w:val="fr-FR" w:eastAsia="fr-FR"/>
              </w:rPr>
            </w:pPr>
            <w:r>
              <w:rPr>
                <w:lang w:val="fr-FR" w:eastAsia="fr-FR"/>
              </w:rPr>
              <w:t>33.333</w:t>
            </w:r>
          </w:p>
        </w:tc>
      </w:tr>
      <w:tr>
        <w:tblPrEx>
          <w:tblLayout w:type="fixed"/>
          <w:tblCellMar>
            <w:top w:w="0" w:type="dxa"/>
            <w:left w:w="70" w:type="dxa"/>
            <w:bottom w:w="0" w:type="dxa"/>
            <w:right w:w="70" w:type="dxa"/>
          </w:tblCellMar>
        </w:tblPrEx>
        <w:trPr>
          <w:cantSplit/>
        </w:trPr>
        <w:tc>
          <w:tcPr>
            <w:tcW w:w="9781" w:type="dxa"/>
            <w:gridSpan w:val="8"/>
            <w:tcBorders>
              <w:top w:val="nil"/>
              <w:left w:val="single" w:color="auto" w:sz="4" w:space="0"/>
              <w:bottom w:val="single" w:color="auto" w:sz="4" w:space="0"/>
              <w:right w:val="single" w:color="auto" w:sz="4" w:space="0"/>
            </w:tcBorders>
            <w:shd w:val="clear" w:color="auto" w:fill="auto"/>
            <w:vAlign w:val="bottom"/>
          </w:tcPr>
          <w:p>
            <w:pPr>
              <w:pStyle w:val="104"/>
              <w:rPr>
                <w:lang w:val="fr-FR" w:eastAsia="fr-FR"/>
              </w:rPr>
            </w:pPr>
            <w:r>
              <w:rPr>
                <w:lang w:eastAsia="fr-FR"/>
              </w:rPr>
              <w:t>Bent pipe satellite</w:t>
            </w:r>
          </w:p>
        </w:tc>
      </w:tr>
      <w:tr>
        <w:tblPrEx>
          <w:tblLayout w:type="fixed"/>
          <w:tblCellMar>
            <w:top w:w="0" w:type="dxa"/>
            <w:left w:w="70" w:type="dxa"/>
            <w:bottom w:w="0" w:type="dxa"/>
            <w:right w:w="70" w:type="dxa"/>
          </w:tblCellMar>
        </w:tblPrEx>
        <w:trPr>
          <w:cantSplit/>
        </w:trPr>
        <w:tc>
          <w:tcPr>
            <w:tcW w:w="981" w:type="dxa"/>
            <w:tcBorders>
              <w:top w:val="single" w:color="auto" w:sz="4" w:space="0"/>
              <w:left w:val="single" w:color="auto" w:sz="4" w:space="0"/>
              <w:bottom w:val="single" w:color="auto" w:sz="4" w:space="0"/>
              <w:right w:val="single" w:color="auto" w:sz="4" w:space="0"/>
            </w:tcBorders>
            <w:shd w:val="clear" w:color="auto" w:fill="auto"/>
            <w:vAlign w:val="bottom"/>
          </w:tcPr>
          <w:p>
            <w:pPr>
              <w:pStyle w:val="104"/>
              <w:rPr>
                <w:lang w:eastAsia="fr-FR"/>
              </w:rPr>
            </w:pPr>
            <w:r>
              <w:rPr>
                <w:lang w:eastAsia="fr-FR"/>
              </w:rPr>
              <w:t>One way delay</w:t>
            </w:r>
          </w:p>
        </w:tc>
        <w:tc>
          <w:tcPr>
            <w:tcW w:w="2150" w:type="dxa"/>
            <w:tcBorders>
              <w:top w:val="single" w:color="auto" w:sz="4" w:space="0"/>
              <w:left w:val="nil"/>
              <w:bottom w:val="single" w:color="auto" w:sz="4" w:space="0"/>
              <w:right w:val="single" w:color="auto" w:sz="4" w:space="0"/>
            </w:tcBorders>
            <w:shd w:val="clear" w:color="auto" w:fill="auto"/>
            <w:vAlign w:val="bottom"/>
          </w:tcPr>
          <w:p>
            <w:pPr>
              <w:pStyle w:val="104"/>
              <w:rPr>
                <w:lang w:eastAsia="fr-FR"/>
              </w:rPr>
            </w:pPr>
            <w:r>
              <w:rPr>
                <w:lang w:eastAsia="fr-FR"/>
              </w:rPr>
              <w:t> Gateway-satellite_UE</w:t>
            </w:r>
          </w:p>
        </w:tc>
        <w:tc>
          <w:tcPr>
            <w:tcW w:w="1111" w:type="dxa"/>
            <w:tcBorders>
              <w:top w:val="single" w:color="auto" w:sz="4" w:space="0"/>
              <w:left w:val="nil"/>
              <w:bottom w:val="single" w:color="auto" w:sz="4" w:space="0"/>
              <w:right w:val="single" w:color="auto" w:sz="4" w:space="0"/>
            </w:tcBorders>
            <w:shd w:val="clear" w:color="auto" w:fill="auto"/>
            <w:vAlign w:val="center"/>
          </w:tcPr>
          <w:p>
            <w:pPr>
              <w:pStyle w:val="104"/>
              <w:rPr>
                <w:lang w:val="fr-FR" w:eastAsia="fr-FR"/>
              </w:rPr>
            </w:pPr>
            <w:r>
              <w:rPr>
                <w:lang w:val="fr-FR" w:eastAsia="fr-FR"/>
              </w:rPr>
              <w:t>4261.2</w:t>
            </w:r>
          </w:p>
        </w:tc>
        <w:tc>
          <w:tcPr>
            <w:tcW w:w="1109" w:type="dxa"/>
            <w:tcBorders>
              <w:top w:val="single" w:color="auto" w:sz="4" w:space="0"/>
              <w:left w:val="nil"/>
              <w:bottom w:val="single" w:color="auto" w:sz="4" w:space="0"/>
              <w:right w:val="single" w:color="auto" w:sz="4" w:space="0"/>
            </w:tcBorders>
            <w:shd w:val="clear" w:color="auto" w:fill="auto"/>
            <w:vAlign w:val="center"/>
          </w:tcPr>
          <w:p>
            <w:pPr>
              <w:pStyle w:val="104"/>
              <w:rPr>
                <w:lang w:val="fr-FR" w:eastAsia="fr-FR"/>
              </w:rPr>
            </w:pPr>
            <w:r>
              <w:rPr>
                <w:lang w:val="fr-FR" w:eastAsia="fr-FR"/>
              </w:rPr>
              <w:t>14.204</w:t>
            </w:r>
          </w:p>
        </w:tc>
        <w:tc>
          <w:tcPr>
            <w:tcW w:w="1109" w:type="dxa"/>
            <w:tcBorders>
              <w:top w:val="single" w:color="auto" w:sz="4" w:space="0"/>
              <w:left w:val="nil"/>
              <w:bottom w:val="single" w:color="auto" w:sz="4" w:space="0"/>
              <w:right w:val="single" w:color="auto" w:sz="4" w:space="0"/>
            </w:tcBorders>
            <w:shd w:val="clear" w:color="auto" w:fill="auto"/>
            <w:vAlign w:val="center"/>
          </w:tcPr>
          <w:p>
            <w:pPr>
              <w:pStyle w:val="104"/>
              <w:rPr>
                <w:lang w:val="fr-FR" w:eastAsia="fr-FR"/>
              </w:rPr>
            </w:pPr>
            <w:r>
              <w:rPr>
                <w:lang w:val="fr-FR" w:eastAsia="fr-FR"/>
              </w:rPr>
              <w:t>7749.2</w:t>
            </w:r>
          </w:p>
        </w:tc>
        <w:tc>
          <w:tcPr>
            <w:tcW w:w="1109" w:type="dxa"/>
            <w:tcBorders>
              <w:top w:val="single" w:color="auto" w:sz="4" w:space="0"/>
              <w:left w:val="nil"/>
              <w:bottom w:val="single" w:color="auto" w:sz="4" w:space="0"/>
              <w:right w:val="single" w:color="auto" w:sz="4" w:space="0"/>
            </w:tcBorders>
            <w:shd w:val="clear" w:color="auto" w:fill="auto"/>
            <w:vAlign w:val="center"/>
          </w:tcPr>
          <w:p>
            <w:pPr>
              <w:pStyle w:val="104"/>
              <w:rPr>
                <w:lang w:val="fr-FR" w:eastAsia="fr-FR"/>
              </w:rPr>
            </w:pPr>
            <w:r>
              <w:rPr>
                <w:lang w:val="fr-FR" w:eastAsia="fr-FR"/>
              </w:rPr>
              <w:t>25.83</w:t>
            </w:r>
          </w:p>
        </w:tc>
        <w:tc>
          <w:tcPr>
            <w:tcW w:w="1109" w:type="dxa"/>
            <w:tcBorders>
              <w:top w:val="single" w:color="auto" w:sz="4" w:space="0"/>
              <w:left w:val="nil"/>
              <w:bottom w:val="single" w:color="auto" w:sz="4" w:space="0"/>
              <w:right w:val="single" w:color="auto" w:sz="4" w:space="0"/>
            </w:tcBorders>
            <w:shd w:val="clear" w:color="auto" w:fill="auto"/>
            <w:vAlign w:val="center"/>
          </w:tcPr>
          <w:p>
            <w:pPr>
              <w:pStyle w:val="104"/>
              <w:rPr>
                <w:lang w:val="fr-FR" w:eastAsia="fr-FR"/>
              </w:rPr>
            </w:pPr>
            <w:r>
              <w:rPr>
                <w:lang w:val="fr-FR" w:eastAsia="fr-FR"/>
              </w:rPr>
              <w:t>28557.6</w:t>
            </w:r>
          </w:p>
        </w:tc>
        <w:tc>
          <w:tcPr>
            <w:tcW w:w="1103" w:type="dxa"/>
            <w:tcBorders>
              <w:top w:val="single" w:color="auto" w:sz="4" w:space="0"/>
              <w:left w:val="nil"/>
              <w:bottom w:val="single" w:color="auto" w:sz="4" w:space="0"/>
              <w:right w:val="single" w:color="auto" w:sz="4" w:space="0"/>
            </w:tcBorders>
            <w:shd w:val="clear" w:color="auto" w:fill="auto"/>
            <w:vAlign w:val="center"/>
          </w:tcPr>
          <w:p>
            <w:pPr>
              <w:pStyle w:val="104"/>
              <w:rPr>
                <w:lang w:val="fr-FR" w:eastAsia="fr-FR"/>
              </w:rPr>
            </w:pPr>
            <w:r>
              <w:rPr>
                <w:lang w:val="fr-FR" w:eastAsia="fr-FR"/>
              </w:rPr>
              <w:t>95.192</w:t>
            </w:r>
          </w:p>
        </w:tc>
      </w:tr>
      <w:tr>
        <w:tblPrEx>
          <w:tblLayout w:type="fixed"/>
          <w:tblCellMar>
            <w:top w:w="0" w:type="dxa"/>
            <w:left w:w="70" w:type="dxa"/>
            <w:bottom w:w="0" w:type="dxa"/>
            <w:right w:w="70" w:type="dxa"/>
          </w:tblCellMar>
        </w:tblPrEx>
        <w:trPr>
          <w:cantSplit/>
        </w:trPr>
        <w:tc>
          <w:tcPr>
            <w:tcW w:w="981" w:type="dxa"/>
            <w:tcBorders>
              <w:top w:val="nil"/>
              <w:left w:val="single" w:color="auto" w:sz="4" w:space="0"/>
              <w:bottom w:val="single" w:color="auto" w:sz="4" w:space="0"/>
              <w:right w:val="single" w:color="auto" w:sz="4" w:space="0"/>
            </w:tcBorders>
            <w:shd w:val="clear" w:color="auto" w:fill="auto"/>
            <w:vAlign w:val="bottom"/>
          </w:tcPr>
          <w:p>
            <w:pPr>
              <w:pStyle w:val="104"/>
              <w:rPr>
                <w:lang w:eastAsia="fr-FR"/>
              </w:rPr>
            </w:pPr>
            <w:r>
              <w:rPr>
                <w:lang w:eastAsia="fr-FR"/>
              </w:rPr>
              <w:t>Round Trip Delay</w:t>
            </w:r>
          </w:p>
        </w:tc>
        <w:tc>
          <w:tcPr>
            <w:tcW w:w="2150" w:type="dxa"/>
            <w:tcBorders>
              <w:top w:val="nil"/>
              <w:left w:val="nil"/>
              <w:bottom w:val="single" w:color="auto" w:sz="4" w:space="0"/>
              <w:right w:val="single" w:color="auto" w:sz="4" w:space="0"/>
            </w:tcBorders>
            <w:shd w:val="clear" w:color="auto" w:fill="auto"/>
            <w:vAlign w:val="bottom"/>
          </w:tcPr>
          <w:p>
            <w:pPr>
              <w:pStyle w:val="104"/>
              <w:rPr>
                <w:lang w:eastAsia="fr-FR"/>
              </w:rPr>
            </w:pPr>
            <w:r>
              <w:rPr>
                <w:lang w:eastAsia="fr-FR"/>
              </w:rPr>
              <w:t xml:space="preserve"> Twice </w:t>
            </w:r>
          </w:p>
        </w:tc>
        <w:tc>
          <w:tcPr>
            <w:tcW w:w="1111" w:type="dxa"/>
            <w:tcBorders>
              <w:top w:val="nil"/>
              <w:left w:val="nil"/>
              <w:bottom w:val="single" w:color="auto" w:sz="4" w:space="0"/>
              <w:right w:val="single" w:color="auto" w:sz="4" w:space="0"/>
            </w:tcBorders>
            <w:shd w:val="clear" w:color="auto" w:fill="auto"/>
            <w:vAlign w:val="center"/>
          </w:tcPr>
          <w:p>
            <w:pPr>
              <w:pStyle w:val="104"/>
              <w:rPr>
                <w:lang w:val="fr-FR" w:eastAsia="fr-FR"/>
              </w:rPr>
            </w:pPr>
            <w:r>
              <w:rPr>
                <w:lang w:val="fr-FR" w:eastAsia="fr-FR"/>
              </w:rPr>
              <w:t>8522.5</w:t>
            </w:r>
          </w:p>
        </w:tc>
        <w:tc>
          <w:tcPr>
            <w:tcW w:w="1109" w:type="dxa"/>
            <w:tcBorders>
              <w:top w:val="nil"/>
              <w:left w:val="nil"/>
              <w:bottom w:val="single" w:color="auto" w:sz="4" w:space="0"/>
              <w:right w:val="single" w:color="auto" w:sz="4" w:space="0"/>
            </w:tcBorders>
            <w:shd w:val="clear" w:color="auto" w:fill="auto"/>
            <w:vAlign w:val="center"/>
          </w:tcPr>
          <w:p>
            <w:pPr>
              <w:pStyle w:val="104"/>
              <w:rPr>
                <w:lang w:val="fr-FR" w:eastAsia="fr-FR"/>
              </w:rPr>
            </w:pPr>
            <w:r>
              <w:rPr>
                <w:lang w:val="fr-FR" w:eastAsia="fr-FR"/>
              </w:rPr>
              <w:t>28.408</w:t>
            </w:r>
          </w:p>
        </w:tc>
        <w:tc>
          <w:tcPr>
            <w:tcW w:w="1109" w:type="dxa"/>
            <w:tcBorders>
              <w:top w:val="nil"/>
              <w:left w:val="nil"/>
              <w:bottom w:val="single" w:color="auto" w:sz="4" w:space="0"/>
              <w:right w:val="single" w:color="auto" w:sz="4" w:space="0"/>
            </w:tcBorders>
            <w:shd w:val="clear" w:color="auto" w:fill="auto"/>
            <w:vAlign w:val="center"/>
          </w:tcPr>
          <w:p>
            <w:pPr>
              <w:pStyle w:val="104"/>
              <w:rPr>
                <w:lang w:val="fr-FR" w:eastAsia="fr-FR"/>
              </w:rPr>
            </w:pPr>
            <w:r>
              <w:rPr>
                <w:lang w:val="fr-FR" w:eastAsia="fr-FR"/>
              </w:rPr>
              <w:t>15498.4</w:t>
            </w:r>
          </w:p>
        </w:tc>
        <w:tc>
          <w:tcPr>
            <w:tcW w:w="1109" w:type="dxa"/>
            <w:tcBorders>
              <w:top w:val="nil"/>
              <w:left w:val="nil"/>
              <w:bottom w:val="single" w:color="auto" w:sz="4" w:space="0"/>
              <w:right w:val="single" w:color="auto" w:sz="4" w:space="0"/>
            </w:tcBorders>
            <w:shd w:val="clear" w:color="auto" w:fill="auto"/>
            <w:vAlign w:val="center"/>
          </w:tcPr>
          <w:p>
            <w:pPr>
              <w:pStyle w:val="104"/>
              <w:rPr>
                <w:lang w:val="fr-FR" w:eastAsia="fr-FR"/>
              </w:rPr>
            </w:pPr>
            <w:r>
              <w:rPr>
                <w:lang w:val="fr-FR" w:eastAsia="fr-FR"/>
              </w:rPr>
              <w:t>51.661</w:t>
            </w:r>
          </w:p>
        </w:tc>
        <w:tc>
          <w:tcPr>
            <w:tcW w:w="1109" w:type="dxa"/>
            <w:tcBorders>
              <w:top w:val="nil"/>
              <w:left w:val="nil"/>
              <w:bottom w:val="single" w:color="auto" w:sz="4" w:space="0"/>
              <w:right w:val="single" w:color="auto" w:sz="4" w:space="0"/>
            </w:tcBorders>
            <w:shd w:val="clear" w:color="auto" w:fill="auto"/>
            <w:vAlign w:val="center"/>
          </w:tcPr>
          <w:p>
            <w:pPr>
              <w:pStyle w:val="104"/>
              <w:rPr>
                <w:lang w:val="fr-FR" w:eastAsia="fr-FR"/>
              </w:rPr>
            </w:pPr>
            <w:r>
              <w:rPr>
                <w:lang w:val="fr-FR" w:eastAsia="fr-FR"/>
              </w:rPr>
              <w:t>57115.2</w:t>
            </w:r>
          </w:p>
        </w:tc>
        <w:tc>
          <w:tcPr>
            <w:tcW w:w="1103" w:type="dxa"/>
            <w:tcBorders>
              <w:top w:val="nil"/>
              <w:left w:val="nil"/>
              <w:bottom w:val="single" w:color="auto" w:sz="4" w:space="0"/>
              <w:right w:val="single" w:color="auto" w:sz="4" w:space="0"/>
            </w:tcBorders>
            <w:shd w:val="clear" w:color="auto" w:fill="auto"/>
            <w:vAlign w:val="center"/>
          </w:tcPr>
          <w:p>
            <w:pPr>
              <w:pStyle w:val="104"/>
              <w:rPr>
                <w:lang w:val="fr-FR" w:eastAsia="fr-FR"/>
              </w:rPr>
            </w:pPr>
            <w:r>
              <w:rPr>
                <w:lang w:val="fr-FR" w:eastAsia="fr-FR"/>
              </w:rPr>
              <w:t>190.38</w:t>
            </w:r>
          </w:p>
        </w:tc>
      </w:tr>
      <w:tr>
        <w:tblPrEx>
          <w:tblLayout w:type="fixed"/>
          <w:tblCellMar>
            <w:top w:w="0" w:type="dxa"/>
            <w:left w:w="70" w:type="dxa"/>
            <w:bottom w:w="0" w:type="dxa"/>
            <w:right w:w="70" w:type="dxa"/>
          </w:tblCellMar>
        </w:tblPrEx>
        <w:trPr>
          <w:cantSplit/>
        </w:trPr>
        <w:tc>
          <w:tcPr>
            <w:tcW w:w="9781" w:type="dxa"/>
            <w:gridSpan w:val="8"/>
            <w:tcBorders>
              <w:top w:val="single" w:color="auto" w:sz="4" w:space="0"/>
              <w:left w:val="single" w:color="auto" w:sz="4" w:space="0"/>
              <w:bottom w:val="single" w:color="auto" w:sz="4" w:space="0"/>
              <w:right w:val="single" w:color="auto" w:sz="4" w:space="0"/>
            </w:tcBorders>
            <w:shd w:val="clear" w:color="auto" w:fill="auto"/>
            <w:vAlign w:val="bottom"/>
          </w:tcPr>
          <w:p>
            <w:pPr>
              <w:pStyle w:val="104"/>
              <w:rPr>
                <w:lang w:val="fr-FR" w:eastAsia="fr-FR"/>
              </w:rPr>
            </w:pPr>
            <w:r>
              <w:rPr>
                <w:lang w:eastAsia="fr-FR"/>
              </w:rPr>
              <w:t>Regenerative satellite</w:t>
            </w:r>
          </w:p>
        </w:tc>
      </w:tr>
      <w:tr>
        <w:tblPrEx>
          <w:tblLayout w:type="fixed"/>
          <w:tblCellMar>
            <w:top w:w="0" w:type="dxa"/>
            <w:left w:w="70" w:type="dxa"/>
            <w:bottom w:w="0" w:type="dxa"/>
            <w:right w:w="70" w:type="dxa"/>
          </w:tblCellMar>
        </w:tblPrEx>
        <w:trPr>
          <w:cantSplit/>
        </w:trPr>
        <w:tc>
          <w:tcPr>
            <w:tcW w:w="981" w:type="dxa"/>
            <w:tcBorders>
              <w:top w:val="single" w:color="auto" w:sz="4" w:space="0"/>
              <w:left w:val="single" w:color="auto" w:sz="4" w:space="0"/>
              <w:bottom w:val="single" w:color="auto" w:sz="4" w:space="0"/>
              <w:right w:val="single" w:color="auto" w:sz="4" w:space="0"/>
            </w:tcBorders>
            <w:shd w:val="clear" w:color="auto" w:fill="auto"/>
            <w:vAlign w:val="bottom"/>
          </w:tcPr>
          <w:p>
            <w:pPr>
              <w:pStyle w:val="104"/>
              <w:rPr>
                <w:lang w:eastAsia="fr-FR"/>
              </w:rPr>
            </w:pPr>
            <w:r>
              <w:rPr>
                <w:lang w:eastAsia="fr-FR"/>
              </w:rPr>
              <w:t>One way delay</w:t>
            </w:r>
          </w:p>
        </w:tc>
        <w:tc>
          <w:tcPr>
            <w:tcW w:w="2150" w:type="dxa"/>
            <w:tcBorders>
              <w:top w:val="single" w:color="auto" w:sz="4" w:space="0"/>
              <w:left w:val="nil"/>
              <w:bottom w:val="single" w:color="auto" w:sz="4" w:space="0"/>
              <w:right w:val="single" w:color="auto" w:sz="4" w:space="0"/>
            </w:tcBorders>
            <w:shd w:val="clear" w:color="auto" w:fill="auto"/>
            <w:vAlign w:val="bottom"/>
          </w:tcPr>
          <w:p>
            <w:pPr>
              <w:pStyle w:val="104"/>
              <w:rPr>
                <w:lang w:eastAsia="fr-FR"/>
              </w:rPr>
            </w:pPr>
            <w:r>
              <w:rPr>
                <w:lang w:eastAsia="fr-FR"/>
              </w:rPr>
              <w:t>Satellite -UE</w:t>
            </w:r>
          </w:p>
        </w:tc>
        <w:tc>
          <w:tcPr>
            <w:tcW w:w="1111" w:type="dxa"/>
            <w:tcBorders>
              <w:top w:val="single" w:color="auto" w:sz="4" w:space="0"/>
              <w:left w:val="nil"/>
              <w:bottom w:val="single" w:color="auto" w:sz="4" w:space="0"/>
              <w:right w:val="single" w:color="auto" w:sz="4" w:space="0"/>
            </w:tcBorders>
            <w:shd w:val="clear" w:color="auto" w:fill="auto"/>
            <w:vAlign w:val="center"/>
          </w:tcPr>
          <w:p>
            <w:pPr>
              <w:pStyle w:val="104"/>
              <w:rPr>
                <w:lang w:val="fr-FR" w:eastAsia="fr-FR"/>
              </w:rPr>
            </w:pPr>
            <w:r>
              <w:rPr>
                <w:lang w:val="fr-FR" w:eastAsia="fr-FR"/>
              </w:rPr>
              <w:t>1932.24</w:t>
            </w:r>
          </w:p>
        </w:tc>
        <w:tc>
          <w:tcPr>
            <w:tcW w:w="1109" w:type="dxa"/>
            <w:tcBorders>
              <w:top w:val="single" w:color="auto" w:sz="4" w:space="0"/>
              <w:left w:val="nil"/>
              <w:bottom w:val="single" w:color="auto" w:sz="4" w:space="0"/>
              <w:right w:val="single" w:color="auto" w:sz="4" w:space="0"/>
            </w:tcBorders>
            <w:shd w:val="clear" w:color="auto" w:fill="auto"/>
            <w:vAlign w:val="center"/>
          </w:tcPr>
          <w:p>
            <w:pPr>
              <w:pStyle w:val="104"/>
              <w:rPr>
                <w:lang w:val="fr-FR" w:eastAsia="fr-FR"/>
              </w:rPr>
            </w:pPr>
            <w:r>
              <w:rPr>
                <w:lang w:val="fr-FR" w:eastAsia="fr-FR"/>
              </w:rPr>
              <w:t>6.44</w:t>
            </w:r>
          </w:p>
        </w:tc>
        <w:tc>
          <w:tcPr>
            <w:tcW w:w="1109" w:type="dxa"/>
            <w:tcBorders>
              <w:top w:val="single" w:color="auto" w:sz="4" w:space="0"/>
              <w:left w:val="nil"/>
              <w:bottom w:val="single" w:color="auto" w:sz="4" w:space="0"/>
              <w:right w:val="single" w:color="auto" w:sz="4" w:space="0"/>
            </w:tcBorders>
            <w:shd w:val="clear" w:color="auto" w:fill="auto"/>
            <w:vAlign w:val="center"/>
          </w:tcPr>
          <w:p>
            <w:pPr>
              <w:pStyle w:val="104"/>
              <w:rPr>
                <w:lang w:val="fr-FR" w:eastAsia="fr-FR"/>
              </w:rPr>
            </w:pPr>
            <w:r>
              <w:rPr>
                <w:lang w:val="fr-FR" w:eastAsia="fr-FR"/>
              </w:rPr>
              <w:t>3647.5</w:t>
            </w:r>
          </w:p>
        </w:tc>
        <w:tc>
          <w:tcPr>
            <w:tcW w:w="1109" w:type="dxa"/>
            <w:tcBorders>
              <w:top w:val="single" w:color="auto" w:sz="4" w:space="0"/>
              <w:left w:val="nil"/>
              <w:bottom w:val="single" w:color="auto" w:sz="4" w:space="0"/>
              <w:right w:val="single" w:color="auto" w:sz="4" w:space="0"/>
            </w:tcBorders>
            <w:shd w:val="clear" w:color="auto" w:fill="auto"/>
            <w:vAlign w:val="center"/>
          </w:tcPr>
          <w:p>
            <w:pPr>
              <w:pStyle w:val="104"/>
              <w:rPr>
                <w:lang w:val="fr-FR" w:eastAsia="fr-FR"/>
              </w:rPr>
            </w:pPr>
            <w:r>
              <w:rPr>
                <w:lang w:val="fr-FR" w:eastAsia="fr-FR"/>
              </w:rPr>
              <w:t>12.16</w:t>
            </w:r>
          </w:p>
        </w:tc>
        <w:tc>
          <w:tcPr>
            <w:tcW w:w="1109" w:type="dxa"/>
            <w:tcBorders>
              <w:top w:val="single" w:color="auto" w:sz="4" w:space="0"/>
              <w:left w:val="nil"/>
              <w:bottom w:val="single" w:color="auto" w:sz="4" w:space="0"/>
              <w:right w:val="single" w:color="auto" w:sz="4" w:space="0"/>
            </w:tcBorders>
            <w:shd w:val="clear" w:color="auto" w:fill="auto"/>
            <w:vAlign w:val="center"/>
          </w:tcPr>
          <w:p>
            <w:pPr>
              <w:pStyle w:val="104"/>
              <w:rPr>
                <w:lang w:val="fr-FR" w:eastAsia="fr-FR"/>
              </w:rPr>
            </w:pPr>
            <w:r>
              <w:rPr>
                <w:lang w:val="fr-FR" w:eastAsia="fr-FR"/>
              </w:rPr>
              <w:t>14018.16</w:t>
            </w:r>
          </w:p>
        </w:tc>
        <w:tc>
          <w:tcPr>
            <w:tcW w:w="1103" w:type="dxa"/>
            <w:tcBorders>
              <w:top w:val="single" w:color="auto" w:sz="4" w:space="0"/>
              <w:left w:val="nil"/>
              <w:bottom w:val="single" w:color="auto" w:sz="4" w:space="0"/>
              <w:right w:val="single" w:color="auto" w:sz="4" w:space="0"/>
            </w:tcBorders>
            <w:shd w:val="clear" w:color="auto" w:fill="auto"/>
            <w:vAlign w:val="center"/>
          </w:tcPr>
          <w:p>
            <w:pPr>
              <w:pStyle w:val="104"/>
              <w:rPr>
                <w:lang w:val="fr-FR" w:eastAsia="fr-FR"/>
              </w:rPr>
            </w:pPr>
            <w:r>
              <w:rPr>
                <w:lang w:val="fr-FR" w:eastAsia="fr-FR"/>
              </w:rPr>
              <w:t>46.73</w:t>
            </w:r>
          </w:p>
        </w:tc>
      </w:tr>
      <w:tr>
        <w:tblPrEx>
          <w:tblLayout w:type="fixed"/>
          <w:tblCellMar>
            <w:top w:w="0" w:type="dxa"/>
            <w:left w:w="70" w:type="dxa"/>
            <w:bottom w:w="0" w:type="dxa"/>
            <w:right w:w="70" w:type="dxa"/>
          </w:tblCellMar>
        </w:tblPrEx>
        <w:trPr>
          <w:cantSplit/>
        </w:trPr>
        <w:tc>
          <w:tcPr>
            <w:tcW w:w="981" w:type="dxa"/>
            <w:tcBorders>
              <w:top w:val="single" w:color="auto" w:sz="4" w:space="0"/>
              <w:left w:val="single" w:color="auto" w:sz="4" w:space="0"/>
              <w:bottom w:val="single" w:color="auto" w:sz="4" w:space="0"/>
              <w:right w:val="single" w:color="auto" w:sz="4" w:space="0"/>
            </w:tcBorders>
            <w:shd w:val="clear" w:color="auto" w:fill="auto"/>
            <w:vAlign w:val="bottom"/>
          </w:tcPr>
          <w:p>
            <w:pPr>
              <w:pStyle w:val="104"/>
              <w:rPr>
                <w:lang w:eastAsia="fr-FR"/>
              </w:rPr>
            </w:pPr>
            <w:r>
              <w:rPr>
                <w:lang w:eastAsia="fr-FR"/>
              </w:rPr>
              <w:t>Round Trip Delay</w:t>
            </w:r>
          </w:p>
        </w:tc>
        <w:tc>
          <w:tcPr>
            <w:tcW w:w="2150" w:type="dxa"/>
            <w:tcBorders>
              <w:top w:val="single" w:color="auto" w:sz="4" w:space="0"/>
              <w:left w:val="nil"/>
              <w:bottom w:val="single" w:color="auto" w:sz="4" w:space="0"/>
              <w:right w:val="single" w:color="auto" w:sz="4" w:space="0"/>
            </w:tcBorders>
            <w:shd w:val="clear" w:color="auto" w:fill="auto"/>
            <w:vAlign w:val="bottom"/>
          </w:tcPr>
          <w:p>
            <w:pPr>
              <w:pStyle w:val="104"/>
              <w:rPr>
                <w:lang w:eastAsia="fr-FR"/>
              </w:rPr>
            </w:pPr>
            <w:r>
              <w:rPr>
                <w:lang w:eastAsia="fr-FR"/>
              </w:rPr>
              <w:t>Satellite-UE-Satellite</w:t>
            </w:r>
          </w:p>
        </w:tc>
        <w:tc>
          <w:tcPr>
            <w:tcW w:w="1111" w:type="dxa"/>
            <w:tcBorders>
              <w:top w:val="single" w:color="auto" w:sz="4" w:space="0"/>
              <w:left w:val="nil"/>
              <w:bottom w:val="single" w:color="auto" w:sz="4" w:space="0"/>
              <w:right w:val="single" w:color="auto" w:sz="4" w:space="0"/>
            </w:tcBorders>
            <w:shd w:val="clear" w:color="auto" w:fill="auto"/>
            <w:vAlign w:val="center"/>
          </w:tcPr>
          <w:p>
            <w:pPr>
              <w:pStyle w:val="104"/>
              <w:rPr>
                <w:lang w:val="fr-FR" w:eastAsia="fr-FR"/>
              </w:rPr>
            </w:pPr>
            <w:r>
              <w:rPr>
                <w:color w:val="000000"/>
              </w:rPr>
              <w:t>3864.48</w:t>
            </w:r>
          </w:p>
        </w:tc>
        <w:tc>
          <w:tcPr>
            <w:tcW w:w="1109" w:type="dxa"/>
            <w:tcBorders>
              <w:top w:val="single" w:color="auto" w:sz="4" w:space="0"/>
              <w:left w:val="nil"/>
              <w:bottom w:val="single" w:color="auto" w:sz="4" w:space="0"/>
              <w:right w:val="single" w:color="auto" w:sz="4" w:space="0"/>
            </w:tcBorders>
            <w:shd w:val="clear" w:color="auto" w:fill="auto"/>
            <w:vAlign w:val="center"/>
          </w:tcPr>
          <w:p>
            <w:pPr>
              <w:pStyle w:val="104"/>
              <w:rPr>
                <w:lang w:val="fr-FR" w:eastAsia="fr-FR"/>
              </w:rPr>
            </w:pPr>
            <w:r>
              <w:rPr>
                <w:color w:val="000000"/>
              </w:rPr>
              <w:t>12.88</w:t>
            </w:r>
          </w:p>
        </w:tc>
        <w:tc>
          <w:tcPr>
            <w:tcW w:w="1109" w:type="dxa"/>
            <w:tcBorders>
              <w:top w:val="single" w:color="auto" w:sz="4" w:space="0"/>
              <w:left w:val="nil"/>
              <w:bottom w:val="single" w:color="auto" w:sz="4" w:space="0"/>
              <w:right w:val="single" w:color="auto" w:sz="4" w:space="0"/>
            </w:tcBorders>
            <w:shd w:val="clear" w:color="auto" w:fill="auto"/>
            <w:vAlign w:val="center"/>
          </w:tcPr>
          <w:p>
            <w:pPr>
              <w:pStyle w:val="104"/>
              <w:rPr>
                <w:lang w:val="fr-FR" w:eastAsia="fr-FR"/>
              </w:rPr>
            </w:pPr>
            <w:r>
              <w:rPr>
                <w:color w:val="000000"/>
              </w:rPr>
              <w:t>7295</w:t>
            </w:r>
          </w:p>
        </w:tc>
        <w:tc>
          <w:tcPr>
            <w:tcW w:w="1109" w:type="dxa"/>
            <w:tcBorders>
              <w:top w:val="single" w:color="auto" w:sz="4" w:space="0"/>
              <w:left w:val="nil"/>
              <w:bottom w:val="single" w:color="auto" w:sz="4" w:space="0"/>
              <w:right w:val="single" w:color="auto" w:sz="4" w:space="0"/>
            </w:tcBorders>
            <w:shd w:val="clear" w:color="auto" w:fill="auto"/>
            <w:vAlign w:val="center"/>
          </w:tcPr>
          <w:p>
            <w:pPr>
              <w:pStyle w:val="104"/>
              <w:rPr>
                <w:lang w:val="fr-FR" w:eastAsia="fr-FR"/>
              </w:rPr>
            </w:pPr>
            <w:r>
              <w:rPr>
                <w:color w:val="000000"/>
              </w:rPr>
              <w:t>24.32</w:t>
            </w:r>
          </w:p>
        </w:tc>
        <w:tc>
          <w:tcPr>
            <w:tcW w:w="1109" w:type="dxa"/>
            <w:tcBorders>
              <w:top w:val="single" w:color="auto" w:sz="4" w:space="0"/>
              <w:left w:val="nil"/>
              <w:bottom w:val="single" w:color="auto" w:sz="4" w:space="0"/>
              <w:right w:val="single" w:color="auto" w:sz="4" w:space="0"/>
            </w:tcBorders>
            <w:shd w:val="clear" w:color="auto" w:fill="auto"/>
            <w:vAlign w:val="center"/>
          </w:tcPr>
          <w:p>
            <w:pPr>
              <w:pStyle w:val="104"/>
              <w:rPr>
                <w:lang w:val="fr-FR" w:eastAsia="fr-FR"/>
              </w:rPr>
            </w:pPr>
            <w:r>
              <w:rPr>
                <w:color w:val="000000"/>
              </w:rPr>
              <w:t>28036.32</w:t>
            </w:r>
          </w:p>
        </w:tc>
        <w:tc>
          <w:tcPr>
            <w:tcW w:w="1103" w:type="dxa"/>
            <w:tcBorders>
              <w:top w:val="single" w:color="auto" w:sz="4" w:space="0"/>
              <w:left w:val="nil"/>
              <w:bottom w:val="single" w:color="auto" w:sz="4" w:space="0"/>
              <w:right w:val="single" w:color="auto" w:sz="4" w:space="0"/>
            </w:tcBorders>
            <w:shd w:val="clear" w:color="auto" w:fill="auto"/>
            <w:vAlign w:val="center"/>
          </w:tcPr>
          <w:p>
            <w:pPr>
              <w:pStyle w:val="104"/>
              <w:rPr>
                <w:lang w:val="fr-FR" w:eastAsia="fr-FR"/>
              </w:rPr>
            </w:pPr>
            <w:r>
              <w:rPr>
                <w:color w:val="000000"/>
              </w:rPr>
              <w:t>93.45</w:t>
            </w:r>
          </w:p>
        </w:tc>
      </w:tr>
    </w:tbl>
    <w:p>
      <w:pPr>
        <w:numPr>
          <w:ilvl w:val="0"/>
          <w:numId w:val="0"/>
        </w:numPr>
        <w:tabs>
          <w:tab w:val="left" w:pos="840"/>
        </w:tabs>
        <w:ind w:leftChars="0"/>
        <w:rPr>
          <w:rFonts w:hint="eastAsia"/>
          <w:lang w:val="en-US" w:eastAsia="zh-CN"/>
        </w:rPr>
      </w:pPr>
    </w:p>
    <w:p>
      <w:pPr>
        <w:numPr>
          <w:ilvl w:val="0"/>
          <w:numId w:val="0"/>
        </w:numPr>
        <w:tabs>
          <w:tab w:val="left" w:pos="840"/>
        </w:tabs>
        <w:ind w:leftChars="0"/>
        <w:rPr>
          <w:rFonts w:hint="eastAsia"/>
          <w:lang w:val="en-US" w:eastAsia="zh-CN"/>
        </w:rPr>
      </w:pPr>
      <w:r>
        <w:rPr>
          <w:rFonts w:hint="eastAsia"/>
          <w:lang w:val="en-US" w:eastAsia="zh-CN"/>
        </w:rPr>
        <w:t>--------------------------------------------------- From  TR 38.811 ----------------------------------------------------------------</w:t>
      </w:r>
    </w:p>
    <w:p>
      <w:pPr>
        <w:numPr>
          <w:ilvl w:val="0"/>
          <w:numId w:val="0"/>
        </w:numPr>
        <w:tabs>
          <w:tab w:val="left" w:pos="840"/>
        </w:tabs>
        <w:ind w:leftChars="0"/>
        <w:rPr>
          <w:rFonts w:hint="eastAsia"/>
          <w:lang w:val="en-US" w:eastAsia="zh-CN"/>
        </w:rPr>
      </w:pPr>
      <w:r>
        <w:rPr>
          <w:rFonts w:hint="eastAsia"/>
          <w:lang w:val="en-US" w:eastAsia="zh-CN"/>
        </w:rPr>
        <w:t xml:space="preserve">Based on the table above, it can be observed that the propagation delays for GEO can be hundreds of ms and the propagation delays for NGSO can be tens of ms. In NR, the mobility is mainly triggered based on the measurement report. However, considering the propagation delay, the measurement result based legacy mobility procedure may lead to some issue similar as </w:t>
      </w:r>
      <w:r>
        <w:rPr>
          <w:rFonts w:hint="default"/>
          <w:lang w:val="en-US" w:eastAsia="zh-CN"/>
        </w:rPr>
        <w:t>“</w:t>
      </w:r>
      <w:r>
        <w:rPr>
          <w:rFonts w:hint="eastAsia"/>
          <w:lang w:val="en-US" w:eastAsia="zh-CN"/>
        </w:rPr>
        <w:t>late handover</w:t>
      </w:r>
      <w:r>
        <w:rPr>
          <w:rFonts w:hint="default"/>
          <w:lang w:val="en-US" w:eastAsia="zh-CN"/>
        </w:rPr>
        <w:t>”</w:t>
      </w:r>
      <w:r>
        <w:rPr>
          <w:rFonts w:hint="eastAsia"/>
          <w:lang w:val="en-US" w:eastAsia="zh-CN"/>
        </w:rPr>
        <w:t xml:space="preserve"> or handover command reception failure. </w:t>
      </w:r>
    </w:p>
    <w:p>
      <w:pPr>
        <w:numPr>
          <w:ilvl w:val="0"/>
          <w:numId w:val="0"/>
        </w:numPr>
        <w:tabs>
          <w:tab w:val="left" w:pos="840"/>
        </w:tabs>
        <w:ind w:leftChars="0"/>
        <w:rPr>
          <w:rFonts w:hint="eastAsia"/>
          <w:lang w:val="en-US" w:eastAsia="zh-CN"/>
        </w:rPr>
      </w:pPr>
      <w:r>
        <w:rPr>
          <w:rFonts w:hint="eastAsia"/>
          <w:lang w:val="en-US" w:eastAsia="zh-CN"/>
        </w:rPr>
        <w:t>To avoid late handover or handover command failure, considering the target satellite can be predicated easily based on the ephemeris, one possible optimized solution is the conditional handover. In conditional handover, the NW can determine the target satellite based on the ephemeris, reserve the radio resource in the target satellite and send the radio resource reserved to UE earlier. With the stored configuration for the target satellite, the UE can determine the timing for handover based on the conditional handover mechanism, and initiate the RA procedure once the condition is fulfilled. Since the timing of triggering handover is determined by UE itself based on the pre-configured condition, the propagation delay can be avoided in handover triggering.</w:t>
      </w:r>
    </w:p>
    <w:p>
      <w:pPr>
        <w:numPr>
          <w:ilvl w:val="0"/>
          <w:numId w:val="0"/>
        </w:numPr>
        <w:tabs>
          <w:tab w:val="left" w:pos="840"/>
        </w:tabs>
        <w:ind w:leftChars="0"/>
        <w:rPr>
          <w:rFonts w:hint="eastAsia"/>
          <w:b/>
          <w:bCs/>
          <w:lang w:val="en-US" w:eastAsia="zh-CN"/>
        </w:rPr>
      </w:pPr>
      <w:r>
        <w:rPr>
          <w:rFonts w:hint="eastAsia"/>
          <w:b/>
          <w:bCs/>
          <w:lang w:val="en-US" w:eastAsia="zh-CN"/>
        </w:rPr>
        <w:t>Observation 6: The target satellites can be predicted based on the ephemeris, and the the NW can have an earlier reservation of radio resource on the target satellite to accelerate the HO procedure.</w:t>
      </w:r>
    </w:p>
    <w:p>
      <w:pPr>
        <w:numPr>
          <w:ilvl w:val="0"/>
          <w:numId w:val="0"/>
        </w:numPr>
        <w:tabs>
          <w:tab w:val="left" w:pos="840"/>
        </w:tabs>
        <w:ind w:leftChars="0"/>
        <w:rPr>
          <w:rFonts w:hint="eastAsia"/>
          <w:b/>
          <w:bCs/>
          <w:lang w:val="en-US" w:eastAsia="zh-CN"/>
        </w:rPr>
      </w:pPr>
      <w:r>
        <w:rPr>
          <w:rFonts w:hint="eastAsia"/>
          <w:b/>
          <w:bCs/>
          <w:lang w:val="en-US" w:eastAsia="zh-CN"/>
        </w:rPr>
        <w:t>Proposal 7: To avoid the negative impact caused by the long propagation delay, the conditional handover should be considered.</w:t>
      </w:r>
    </w:p>
    <w:p>
      <w:pPr>
        <w:numPr>
          <w:ilvl w:val="0"/>
          <w:numId w:val="0"/>
        </w:numPr>
        <w:tabs>
          <w:tab w:val="left" w:pos="840"/>
        </w:tabs>
        <w:ind w:leftChars="0"/>
        <w:rPr>
          <w:rFonts w:hint="eastAsia"/>
          <w:lang w:val="en-US" w:eastAsia="zh-CN"/>
        </w:rPr>
      </w:pPr>
      <w:r>
        <w:rPr>
          <w:rFonts w:hint="eastAsia"/>
          <w:lang w:val="en-US" w:eastAsia="zh-CN"/>
        </w:rPr>
        <w:t>Even the conditional handover should be considered in the performance evaluation, considering the conditional handover has already been included in the scope Rel-16 WI NR mobility enhancements, in order to avoid paralleled discussion in two WI/SI, the detail of conditional handover should be discussed in the Rel-16 WI NR mobility enhancements.</w:t>
      </w:r>
    </w:p>
    <w:p>
      <w:pPr>
        <w:numPr>
          <w:ilvl w:val="0"/>
          <w:numId w:val="0"/>
        </w:numPr>
        <w:tabs>
          <w:tab w:val="left" w:pos="840"/>
        </w:tabs>
        <w:ind w:leftChars="0"/>
        <w:rPr>
          <w:b/>
          <w:bCs/>
          <w:sz w:val="22"/>
          <w:szCs w:val="28"/>
        </w:rPr>
      </w:pPr>
      <w:r>
        <w:rPr>
          <w:rFonts w:hint="eastAsia"/>
          <w:b/>
          <w:bCs/>
          <w:lang w:val="en-US" w:eastAsia="zh-CN"/>
        </w:rPr>
        <w:t>Proposal 8: The conditional handover can be considered in the performance evaluation, but the detail of conditional handover should be discussed in the Rel-16 WI NR mobility enhancements</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hint="eastAsia" w:ascii="Arial" w:hAnsi="Arial" w:cs="Arial"/>
          <w:b w:val="0"/>
          <w:bCs w:val="0"/>
          <w:kern w:val="0"/>
          <w:sz w:val="32"/>
          <w:szCs w:val="36"/>
          <w:lang w:val="en-US" w:eastAsia="zh-CN"/>
        </w:rPr>
      </w:pPr>
      <w:r>
        <w:rPr>
          <w:rFonts w:hint="eastAsia" w:ascii="Arial" w:hAnsi="Arial" w:cs="Arial"/>
          <w:b w:val="0"/>
          <w:bCs w:val="0"/>
          <w:kern w:val="0"/>
          <w:sz w:val="32"/>
          <w:szCs w:val="36"/>
          <w:lang w:val="en-US" w:eastAsia="zh-CN"/>
        </w:rPr>
        <w:t>Conclusion</w:t>
      </w:r>
    </w:p>
    <w:p>
      <w:pPr>
        <w:numPr>
          <w:ilvl w:val="0"/>
          <w:numId w:val="0"/>
        </w:numPr>
        <w:tabs>
          <w:tab w:val="left" w:pos="840"/>
        </w:tabs>
        <w:ind w:leftChars="0"/>
        <w:rPr>
          <w:rFonts w:hint="eastAsia"/>
          <w:lang w:val="en-US" w:eastAsia="zh-CN"/>
        </w:rPr>
      </w:pPr>
      <w:r>
        <w:rPr>
          <w:rFonts w:hint="eastAsia"/>
          <w:lang w:val="en-US" w:eastAsia="zh-CN"/>
        </w:rPr>
        <w:t>Based on the analysis above, some observations and proposals are given as follow:</w:t>
      </w:r>
    </w:p>
    <w:p>
      <w:pPr>
        <w:numPr>
          <w:ilvl w:val="0"/>
          <w:numId w:val="0"/>
        </w:numPr>
        <w:tabs>
          <w:tab w:val="left" w:pos="840"/>
        </w:tabs>
        <w:ind w:leftChars="0"/>
        <w:rPr>
          <w:rFonts w:hint="eastAsia"/>
          <w:b w:val="0"/>
          <w:bCs w:val="0"/>
          <w:i/>
          <w:iCs/>
          <w:lang w:val="en-US" w:eastAsia="zh-CN"/>
        </w:rPr>
      </w:pPr>
      <w:r>
        <w:rPr>
          <w:rFonts w:hint="eastAsia"/>
          <w:b w:val="0"/>
          <w:bCs w:val="0"/>
          <w:i/>
          <w:iCs/>
          <w:lang w:val="en-US" w:eastAsia="zh-CN"/>
        </w:rPr>
        <w:t xml:space="preserve">Observation 1: The overlapped </w:t>
      </w:r>
      <w:r>
        <w:rPr>
          <w:rFonts w:hint="default"/>
          <w:b w:val="0"/>
          <w:bCs w:val="0"/>
          <w:i/>
          <w:iCs/>
          <w:lang w:val="en-US" w:eastAsia="zh-CN"/>
        </w:rPr>
        <w:t>“</w:t>
      </w:r>
      <w:r>
        <w:rPr>
          <w:rFonts w:hint="eastAsia"/>
          <w:b w:val="0"/>
          <w:bCs w:val="0"/>
          <w:i/>
          <w:iCs/>
          <w:lang w:val="en-US" w:eastAsia="zh-CN"/>
        </w:rPr>
        <w:t>Earth-fixed beams</w:t>
      </w:r>
      <w:r>
        <w:rPr>
          <w:rFonts w:hint="default"/>
          <w:b w:val="0"/>
          <w:bCs w:val="0"/>
          <w:i/>
          <w:iCs/>
          <w:lang w:val="en-US" w:eastAsia="zh-CN"/>
        </w:rPr>
        <w:t>”</w:t>
      </w:r>
      <w:r>
        <w:rPr>
          <w:rFonts w:hint="eastAsia"/>
          <w:b w:val="0"/>
          <w:bCs w:val="0"/>
          <w:i/>
          <w:iCs/>
          <w:lang w:val="en-US" w:eastAsia="zh-CN"/>
        </w:rPr>
        <w:t xml:space="preserve"> from different satellites should be modeled as different cells. And different PCIs should be assumed for such </w:t>
      </w:r>
      <w:r>
        <w:rPr>
          <w:rFonts w:hint="default"/>
          <w:b w:val="0"/>
          <w:bCs w:val="0"/>
          <w:i/>
          <w:iCs/>
          <w:lang w:val="en-US" w:eastAsia="zh-CN"/>
        </w:rPr>
        <w:t>“</w:t>
      </w:r>
      <w:r>
        <w:rPr>
          <w:rFonts w:hint="eastAsia"/>
          <w:b w:val="0"/>
          <w:bCs w:val="0"/>
          <w:i/>
          <w:iCs/>
          <w:lang w:val="en-US" w:eastAsia="zh-CN"/>
        </w:rPr>
        <w:t>Earth-fixed beams</w:t>
      </w:r>
      <w:r>
        <w:rPr>
          <w:rFonts w:hint="default"/>
          <w:b w:val="0"/>
          <w:bCs w:val="0"/>
          <w:i/>
          <w:iCs/>
          <w:lang w:val="en-US" w:eastAsia="zh-CN"/>
        </w:rPr>
        <w:t>”</w:t>
      </w:r>
      <w:r>
        <w:rPr>
          <w:rFonts w:hint="eastAsia"/>
          <w:b w:val="0"/>
          <w:bCs w:val="0"/>
          <w:i/>
          <w:iCs/>
          <w:lang w:val="en-US" w:eastAsia="zh-CN"/>
        </w:rPr>
        <w:t xml:space="preserve"> from different satellites on the same frequency.</w:t>
      </w:r>
    </w:p>
    <w:p>
      <w:pPr>
        <w:numPr>
          <w:ilvl w:val="0"/>
          <w:numId w:val="0"/>
        </w:numPr>
        <w:tabs>
          <w:tab w:val="left" w:pos="840"/>
        </w:tabs>
        <w:ind w:leftChars="0"/>
        <w:rPr>
          <w:rFonts w:hint="eastAsia"/>
          <w:b/>
          <w:bCs/>
          <w:lang w:val="en-US" w:eastAsia="zh-CN"/>
        </w:rPr>
      </w:pPr>
      <w:r>
        <w:rPr>
          <w:rFonts w:hint="eastAsia"/>
          <w:b/>
          <w:bCs/>
          <w:lang w:val="en-US" w:eastAsia="zh-CN"/>
        </w:rPr>
        <w:t xml:space="preserve">Proposal 1: No matter the </w:t>
      </w:r>
      <w:r>
        <w:rPr>
          <w:rFonts w:hint="default"/>
          <w:b/>
          <w:bCs/>
          <w:lang w:val="en-US" w:eastAsia="zh-CN"/>
        </w:rPr>
        <w:t>“</w:t>
      </w:r>
      <w:r>
        <w:rPr>
          <w:rFonts w:hint="eastAsia"/>
          <w:b/>
          <w:bCs/>
          <w:lang w:val="en-US" w:eastAsia="zh-CN"/>
        </w:rPr>
        <w:t>Earth-fixed beams</w:t>
      </w:r>
      <w:r>
        <w:rPr>
          <w:rFonts w:hint="default"/>
          <w:b/>
          <w:bCs/>
          <w:lang w:val="en-US" w:eastAsia="zh-CN"/>
        </w:rPr>
        <w:t>”</w:t>
      </w:r>
      <w:r>
        <w:rPr>
          <w:rFonts w:hint="eastAsia"/>
          <w:b/>
          <w:bCs/>
          <w:lang w:val="en-US" w:eastAsia="zh-CN"/>
        </w:rPr>
        <w:t xml:space="preserve"> or </w:t>
      </w:r>
      <w:r>
        <w:rPr>
          <w:rFonts w:hint="default"/>
          <w:b/>
          <w:bCs/>
          <w:lang w:val="en-US" w:eastAsia="zh-CN"/>
        </w:rPr>
        <w:t>“</w:t>
      </w:r>
      <w:r>
        <w:rPr>
          <w:rFonts w:hint="eastAsia"/>
          <w:b/>
          <w:bCs/>
          <w:lang w:val="en-US" w:eastAsia="zh-CN"/>
        </w:rPr>
        <w:t>Moving beams</w:t>
      </w:r>
      <w:r>
        <w:rPr>
          <w:rFonts w:hint="default"/>
          <w:b/>
          <w:bCs/>
          <w:lang w:val="en-US" w:eastAsia="zh-CN"/>
        </w:rPr>
        <w:t>”</w:t>
      </w:r>
      <w:r>
        <w:rPr>
          <w:rFonts w:hint="eastAsia"/>
          <w:b/>
          <w:bCs/>
          <w:lang w:val="en-US" w:eastAsia="zh-CN"/>
        </w:rPr>
        <w:t xml:space="preserve"> are used, the satellite beams from different satellites should be modeled as different cells. And different PCIs should be assumed for such satellites beams from different satellites on the same frequency.</w:t>
      </w:r>
    </w:p>
    <w:p>
      <w:pPr>
        <w:numPr>
          <w:ilvl w:val="0"/>
          <w:numId w:val="0"/>
        </w:numPr>
        <w:tabs>
          <w:tab w:val="left" w:pos="840"/>
        </w:tabs>
        <w:ind w:leftChars="0"/>
        <w:rPr>
          <w:rFonts w:hint="eastAsia"/>
          <w:b/>
          <w:bCs/>
          <w:lang w:val="en-US" w:eastAsia="zh-CN"/>
        </w:rPr>
      </w:pPr>
      <w:r>
        <w:rPr>
          <w:rFonts w:hint="eastAsia"/>
          <w:b/>
          <w:bCs/>
          <w:lang w:val="en-US" w:eastAsia="zh-CN"/>
        </w:rPr>
        <w:t>Proposal 2: An indication is introduced to identify non-terrestrial network. The indication can be delivered via RRC signaling in an implicit or explicit way:</w:t>
      </w:r>
    </w:p>
    <w:p>
      <w:pPr>
        <w:numPr>
          <w:ilvl w:val="0"/>
          <w:numId w:val="6"/>
        </w:numPr>
        <w:tabs>
          <w:tab w:val="left" w:pos="840"/>
        </w:tabs>
        <w:ind w:left="0" w:leftChars="0" w:firstLine="420" w:firstLineChars="0"/>
        <w:rPr>
          <w:rFonts w:hint="eastAsia"/>
          <w:b/>
          <w:bCs/>
          <w:lang w:val="en-US" w:eastAsia="zh-CN"/>
        </w:rPr>
      </w:pPr>
      <w:r>
        <w:rPr>
          <w:rFonts w:hint="eastAsia"/>
          <w:b/>
          <w:bCs/>
          <w:lang w:val="en-US" w:eastAsia="zh-CN"/>
        </w:rPr>
        <w:t>Implicit indication: Specific values of PLMN ID are reserved for non-terrestrial network. An MCC is allocated and assignment of MNCs are made by the Director of TSB for a satellite or non-terrestrial-network.</w:t>
      </w:r>
    </w:p>
    <w:p>
      <w:pPr>
        <w:numPr>
          <w:ilvl w:val="0"/>
          <w:numId w:val="6"/>
        </w:numPr>
        <w:tabs>
          <w:tab w:val="left" w:pos="840"/>
        </w:tabs>
        <w:ind w:left="0" w:leftChars="0" w:firstLine="420" w:firstLineChars="0"/>
        <w:rPr>
          <w:rFonts w:hint="eastAsia"/>
          <w:b/>
          <w:bCs/>
          <w:lang w:val="en-US" w:eastAsia="zh-CN"/>
        </w:rPr>
      </w:pPr>
      <w:r>
        <w:rPr>
          <w:rFonts w:hint="eastAsia"/>
          <w:b/>
          <w:bCs/>
          <w:lang w:val="en-US" w:eastAsia="zh-CN"/>
        </w:rPr>
        <w:t>Explicit indication: Add a separate IE in SIB1 to indicate non-terrestrial network.</w:t>
      </w:r>
    </w:p>
    <w:p>
      <w:pPr>
        <w:numPr>
          <w:ilvl w:val="0"/>
          <w:numId w:val="0"/>
        </w:numPr>
        <w:tabs>
          <w:tab w:val="left" w:pos="840"/>
        </w:tabs>
        <w:ind w:leftChars="0"/>
        <w:rPr>
          <w:rFonts w:hint="eastAsia"/>
          <w:b w:val="0"/>
          <w:bCs w:val="0"/>
          <w:i/>
          <w:iCs/>
          <w:lang w:val="en-US" w:eastAsia="zh-CN"/>
        </w:rPr>
      </w:pPr>
      <w:r>
        <w:rPr>
          <w:rFonts w:hint="eastAsia"/>
          <w:b w:val="0"/>
          <w:bCs w:val="0"/>
          <w:i/>
          <w:iCs/>
          <w:lang w:val="en-US" w:eastAsia="zh-CN"/>
        </w:rPr>
        <w:t>Observation 2: In some deployments, individual satellite beams are linked to individual PCIs, the satellite beams are kind of visible to UE, which benefits the mobility.</w:t>
      </w:r>
    </w:p>
    <w:p>
      <w:pPr>
        <w:numPr>
          <w:ilvl w:val="0"/>
          <w:numId w:val="0"/>
        </w:numPr>
        <w:tabs>
          <w:tab w:val="left" w:pos="840"/>
        </w:tabs>
        <w:ind w:leftChars="0"/>
        <w:rPr>
          <w:rFonts w:hint="eastAsia"/>
          <w:b/>
          <w:bCs/>
          <w:lang w:val="en-US" w:eastAsia="zh-CN"/>
        </w:rPr>
      </w:pPr>
      <w:r>
        <w:rPr>
          <w:rFonts w:hint="eastAsia"/>
          <w:b/>
          <w:bCs/>
          <w:lang w:val="en-US" w:eastAsia="zh-CN"/>
        </w:rPr>
        <w:t>Proposal 3: In some deployments when PCI is shared by multiple satellite beams, the satellite beams are visible to UE in a implicit way or explicit way:</w:t>
      </w:r>
    </w:p>
    <w:p>
      <w:pPr>
        <w:numPr>
          <w:ilvl w:val="0"/>
          <w:numId w:val="6"/>
        </w:numPr>
        <w:tabs>
          <w:tab w:val="left" w:pos="840"/>
        </w:tabs>
        <w:ind w:left="0" w:leftChars="0" w:firstLine="420" w:firstLineChars="0"/>
        <w:rPr>
          <w:rFonts w:hint="eastAsia"/>
          <w:lang w:val="en-US" w:eastAsia="zh-CN"/>
        </w:rPr>
      </w:pPr>
      <w:r>
        <w:rPr>
          <w:rFonts w:hint="eastAsia"/>
          <w:b/>
          <w:bCs/>
          <w:lang w:val="en-US" w:eastAsia="zh-CN"/>
        </w:rPr>
        <w:t>Implicit indication: each satellite beam is linked to one SSB within the NTN cell. The satellite beam are visible to UE from the SSB index.</w:t>
      </w:r>
    </w:p>
    <w:p>
      <w:pPr>
        <w:numPr>
          <w:ilvl w:val="0"/>
          <w:numId w:val="6"/>
        </w:numPr>
        <w:tabs>
          <w:tab w:val="left" w:pos="840"/>
        </w:tabs>
        <w:ind w:left="0" w:leftChars="0" w:firstLine="420" w:firstLineChars="0"/>
        <w:rPr>
          <w:rFonts w:hint="eastAsia"/>
          <w:lang w:val="en-US" w:eastAsia="zh-CN"/>
        </w:rPr>
      </w:pPr>
      <w:r>
        <w:rPr>
          <w:rFonts w:hint="eastAsia"/>
          <w:b/>
          <w:bCs/>
          <w:lang w:val="en-US" w:eastAsia="zh-CN"/>
        </w:rPr>
        <w:t xml:space="preserve">Explicit indication: satellite beam indications are provided to UE via system information or dedicated RRC signaling. </w:t>
      </w:r>
    </w:p>
    <w:p>
      <w:pPr>
        <w:numPr>
          <w:ilvl w:val="0"/>
          <w:numId w:val="0"/>
        </w:numPr>
        <w:tabs>
          <w:tab w:val="left" w:pos="840"/>
        </w:tabs>
        <w:ind w:leftChars="0"/>
        <w:rPr>
          <w:rFonts w:hint="eastAsia"/>
          <w:b w:val="0"/>
          <w:bCs w:val="0"/>
          <w:i/>
          <w:iCs/>
          <w:lang w:val="en-US" w:eastAsia="zh-CN"/>
        </w:rPr>
      </w:pPr>
      <w:r>
        <w:rPr>
          <w:rFonts w:hint="eastAsia"/>
          <w:b w:val="0"/>
          <w:bCs w:val="0"/>
          <w:i/>
          <w:iCs/>
          <w:lang w:val="en-US" w:eastAsia="zh-CN"/>
        </w:rPr>
        <w:t>Observation 3: With the knowledge of satellite system ID and satellite ID, it is possible for UE to derive the location or predict the target satellite according to the ephemeris which benefits mobility.</w:t>
      </w:r>
    </w:p>
    <w:p>
      <w:pPr>
        <w:numPr>
          <w:ilvl w:val="0"/>
          <w:numId w:val="0"/>
        </w:numPr>
        <w:tabs>
          <w:tab w:val="left" w:pos="840"/>
        </w:tabs>
        <w:ind w:leftChars="0"/>
        <w:rPr>
          <w:rFonts w:hint="eastAsia"/>
          <w:lang w:val="en-US" w:eastAsia="zh-CN"/>
        </w:rPr>
      </w:pPr>
      <w:r>
        <w:rPr>
          <w:rFonts w:hint="eastAsia"/>
          <w:b/>
          <w:bCs/>
          <w:lang w:val="en-US" w:eastAsia="zh-CN"/>
        </w:rPr>
        <w:t>Proposal 4: The satellite system ID and satellite ID is provided to UE via system information or dedicated RRC signaling.</w:t>
      </w:r>
    </w:p>
    <w:p>
      <w:pPr>
        <w:numPr>
          <w:ilvl w:val="0"/>
          <w:numId w:val="0"/>
        </w:numPr>
        <w:tabs>
          <w:tab w:val="left" w:pos="840"/>
        </w:tabs>
        <w:ind w:leftChars="0"/>
        <w:rPr>
          <w:rFonts w:hint="eastAsia"/>
          <w:b w:val="0"/>
          <w:bCs w:val="0"/>
          <w:i/>
          <w:iCs/>
          <w:lang w:val="en-US" w:eastAsia="zh-CN"/>
        </w:rPr>
      </w:pPr>
      <w:r>
        <w:rPr>
          <w:rFonts w:hint="eastAsia"/>
          <w:b w:val="0"/>
          <w:bCs w:val="0"/>
          <w:i/>
          <w:iCs/>
          <w:lang w:val="en-US" w:eastAsia="zh-CN"/>
        </w:rPr>
        <w:t xml:space="preserve">Observation 4: Even more cell reselection will be triggered by the movement of satellites, considering the agreements that </w:t>
      </w:r>
      <w:r>
        <w:rPr>
          <w:rFonts w:hint="default"/>
          <w:b w:val="0"/>
          <w:bCs w:val="0"/>
          <w:i/>
          <w:iCs/>
          <w:lang w:val="en-US" w:eastAsia="zh-CN"/>
        </w:rPr>
        <w:t>“</w:t>
      </w:r>
      <w:r>
        <w:rPr>
          <w:rFonts w:hint="eastAsia"/>
          <w:b w:val="0"/>
          <w:bCs w:val="0"/>
          <w:i/>
          <w:iCs/>
          <w:lang w:val="en-US" w:eastAsia="zh-CN"/>
        </w:rPr>
        <w:t>a tracking area corresponds to a fixed geographical area</w:t>
      </w:r>
      <w:r>
        <w:rPr>
          <w:rFonts w:hint="default"/>
          <w:b w:val="0"/>
          <w:bCs w:val="0"/>
          <w:i/>
          <w:iCs/>
          <w:lang w:val="en-US" w:eastAsia="zh-CN"/>
        </w:rPr>
        <w:t>”</w:t>
      </w:r>
      <w:r>
        <w:rPr>
          <w:rFonts w:hint="eastAsia"/>
          <w:b w:val="0"/>
          <w:bCs w:val="0"/>
          <w:i/>
          <w:iCs/>
          <w:lang w:val="en-US" w:eastAsia="zh-CN"/>
        </w:rPr>
        <w:t>, the TAU will not be triggered frequently, thus no optimization is needed for such frequent cell reselection caused by the movement of satellites.</w:t>
      </w:r>
    </w:p>
    <w:p>
      <w:pPr>
        <w:numPr>
          <w:ilvl w:val="0"/>
          <w:numId w:val="0"/>
        </w:numPr>
        <w:tabs>
          <w:tab w:val="left" w:pos="840"/>
        </w:tabs>
        <w:ind w:leftChars="0"/>
        <w:rPr>
          <w:rFonts w:hint="eastAsia"/>
          <w:b/>
          <w:bCs/>
          <w:lang w:val="en-US" w:eastAsia="zh-CN"/>
        </w:rPr>
      </w:pPr>
      <w:r>
        <w:rPr>
          <w:rFonts w:hint="eastAsia"/>
          <w:b/>
          <w:bCs/>
          <w:lang w:val="en-US" w:eastAsia="zh-CN"/>
        </w:rPr>
        <w:t>Proposal 5: The IDLE mobility mechanism defined in NR can be reused in NTN. No optimization is needed for the frequent cell reselection caused by the movement of satellites.</w:t>
      </w:r>
    </w:p>
    <w:p>
      <w:pPr>
        <w:numPr>
          <w:ilvl w:val="0"/>
          <w:numId w:val="0"/>
        </w:numPr>
        <w:tabs>
          <w:tab w:val="left" w:pos="840"/>
        </w:tabs>
        <w:ind w:leftChars="0"/>
        <w:rPr>
          <w:rFonts w:hint="eastAsia"/>
          <w:b w:val="0"/>
          <w:bCs w:val="0"/>
          <w:i/>
          <w:iCs/>
          <w:lang w:val="en-US" w:eastAsia="zh-CN"/>
        </w:rPr>
      </w:pPr>
      <w:r>
        <w:rPr>
          <w:rFonts w:hint="eastAsia"/>
          <w:b w:val="0"/>
          <w:bCs w:val="0"/>
          <w:i/>
          <w:iCs/>
          <w:lang w:val="en-US" w:eastAsia="zh-CN"/>
        </w:rPr>
        <w:t>Observation 5: RACH procedure is needed to establish the UL synchronization with the target satellite.</w:t>
      </w:r>
    </w:p>
    <w:p>
      <w:pPr>
        <w:numPr>
          <w:ilvl w:val="0"/>
          <w:numId w:val="0"/>
        </w:numPr>
        <w:tabs>
          <w:tab w:val="left" w:pos="840"/>
        </w:tabs>
        <w:ind w:leftChars="0"/>
        <w:rPr>
          <w:rFonts w:hint="eastAsia"/>
          <w:b/>
          <w:bCs/>
          <w:lang w:val="en-US" w:eastAsia="zh-CN"/>
        </w:rPr>
      </w:pPr>
      <w:r>
        <w:rPr>
          <w:rFonts w:hint="eastAsia"/>
          <w:b/>
          <w:bCs/>
          <w:lang w:val="en-US" w:eastAsia="zh-CN"/>
        </w:rPr>
        <w:t>Proposal 6: For the connected mobility between two satellites, the reconfiguration with SYNC procedure should be used.</w:t>
      </w:r>
    </w:p>
    <w:p>
      <w:pPr>
        <w:numPr>
          <w:ilvl w:val="0"/>
          <w:numId w:val="0"/>
        </w:numPr>
        <w:tabs>
          <w:tab w:val="left" w:pos="840"/>
        </w:tabs>
        <w:ind w:leftChars="0"/>
        <w:rPr>
          <w:rFonts w:hint="eastAsia"/>
          <w:b w:val="0"/>
          <w:bCs w:val="0"/>
          <w:i/>
          <w:iCs/>
          <w:lang w:val="en-US" w:eastAsia="zh-CN"/>
        </w:rPr>
      </w:pPr>
      <w:r>
        <w:rPr>
          <w:rFonts w:hint="eastAsia"/>
          <w:b w:val="0"/>
          <w:bCs w:val="0"/>
          <w:i/>
          <w:iCs/>
          <w:lang w:val="en-US" w:eastAsia="zh-CN"/>
        </w:rPr>
        <w:t>Observation 6: The target satellites can be predicted based on the ephemeris, and the the NW can have an earlier reservation of radio resource on the target satellite to accelerate the HO procedure.</w:t>
      </w:r>
    </w:p>
    <w:p>
      <w:pPr>
        <w:numPr>
          <w:ilvl w:val="0"/>
          <w:numId w:val="0"/>
        </w:numPr>
        <w:tabs>
          <w:tab w:val="left" w:pos="840"/>
        </w:tabs>
        <w:ind w:leftChars="0"/>
        <w:rPr>
          <w:rFonts w:hint="eastAsia"/>
          <w:b/>
          <w:bCs/>
          <w:lang w:val="en-US" w:eastAsia="zh-CN"/>
        </w:rPr>
      </w:pPr>
      <w:r>
        <w:rPr>
          <w:rFonts w:hint="eastAsia"/>
          <w:b/>
          <w:bCs/>
          <w:lang w:val="en-US" w:eastAsia="zh-CN"/>
        </w:rPr>
        <w:t>Proposal 7: To avoid the negative impact caused by the long propagation delay, the conditional handover should be considered.</w:t>
      </w:r>
    </w:p>
    <w:p>
      <w:pPr>
        <w:numPr>
          <w:ilvl w:val="0"/>
          <w:numId w:val="0"/>
        </w:numPr>
        <w:tabs>
          <w:tab w:val="left" w:pos="840"/>
        </w:tabs>
        <w:ind w:leftChars="0"/>
        <w:rPr>
          <w:b/>
          <w:bCs/>
          <w:sz w:val="22"/>
          <w:szCs w:val="28"/>
        </w:rPr>
      </w:pPr>
      <w:r>
        <w:rPr>
          <w:rFonts w:hint="eastAsia"/>
          <w:b/>
          <w:bCs/>
          <w:lang w:val="en-US" w:eastAsia="zh-CN"/>
        </w:rPr>
        <w:t>Proposal 8: The conditional handover can be considered in the performance evaluation, but the detail of conditional handover should be discussed in the Rel-16 WI NR mobility enhancements</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pPr>
        <w:pStyle w:val="67"/>
        <w:numPr>
          <w:ilvl w:val="0"/>
          <w:numId w:val="7"/>
        </w:numPr>
        <w:ind w:firstLineChars="0"/>
        <w:rPr>
          <w:szCs w:val="22"/>
          <w:lang w:val="en-GB"/>
        </w:rPr>
      </w:pPr>
      <w:r>
        <w:rPr>
          <w:rFonts w:hint="eastAsia"/>
          <w:lang w:val="en-US" w:eastAsia="zh-CN"/>
        </w:rPr>
        <w:t>TR 38.821 Solutions for NR to support non-terrestrial networks (NTN)</w:t>
      </w:r>
    </w:p>
    <w:p>
      <w:pPr>
        <w:pStyle w:val="67"/>
        <w:numPr>
          <w:ilvl w:val="0"/>
          <w:numId w:val="7"/>
        </w:numPr>
        <w:ind w:firstLineChars="0"/>
        <w:rPr>
          <w:szCs w:val="22"/>
          <w:lang w:val="en-GB"/>
        </w:rPr>
      </w:pPr>
      <w:r>
        <w:rPr>
          <w:rFonts w:hint="eastAsia"/>
          <w:szCs w:val="22"/>
          <w:lang w:val="en-GB"/>
        </w:rPr>
        <w:t>R2-1814931</w:t>
      </w:r>
      <w:r>
        <w:rPr>
          <w:rFonts w:hint="eastAsia"/>
          <w:szCs w:val="22"/>
          <w:lang w:val="en-US" w:eastAsia="zh-CN"/>
        </w:rPr>
        <w:t xml:space="preserve"> </w:t>
      </w:r>
      <w:r>
        <w:rPr>
          <w:rFonts w:hint="eastAsia"/>
          <w:szCs w:val="22"/>
          <w:lang w:val="en-GB"/>
        </w:rPr>
        <w:t>Spot beam versus cell in NTN NR</w:t>
      </w:r>
      <w:r>
        <w:rPr>
          <w:rFonts w:hint="eastAsia"/>
          <w:szCs w:val="22"/>
          <w:lang w:val="en-US" w:eastAsia="zh-CN"/>
        </w:rPr>
        <w:t>,</w:t>
      </w:r>
      <w:r>
        <w:rPr>
          <w:rFonts w:hint="eastAsia"/>
          <w:szCs w:val="22"/>
          <w:lang w:val="en-GB"/>
        </w:rPr>
        <w:tab/>
      </w:r>
      <w:r>
        <w:rPr>
          <w:rFonts w:hint="eastAsia"/>
          <w:szCs w:val="22"/>
          <w:lang w:val="en-GB"/>
        </w:rPr>
        <w:t>Ericsson</w:t>
      </w:r>
      <w:bookmarkStart w:id="4" w:name="_GoBack"/>
      <w:bookmarkEnd w:id="4"/>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hint="eastAsia" w:ascii="Arial" w:hAnsi="Arial" w:cs="Arial"/>
          <w:b w:val="0"/>
          <w:bCs w:val="0"/>
          <w:kern w:val="0"/>
          <w:sz w:val="32"/>
          <w:szCs w:val="36"/>
          <w:lang w:val="en-US" w:eastAsia="zh-CN"/>
        </w:rPr>
      </w:pPr>
      <w:r>
        <w:rPr>
          <w:rFonts w:hint="eastAsia" w:ascii="Arial" w:hAnsi="Arial" w:cs="Arial"/>
          <w:b w:val="0"/>
          <w:bCs w:val="0"/>
          <w:kern w:val="0"/>
          <w:sz w:val="32"/>
          <w:szCs w:val="36"/>
          <w:lang w:val="en-US" w:eastAsia="zh-CN"/>
        </w:rPr>
        <w:t xml:space="preserve">Annex A </w:t>
      </w:r>
      <w:r>
        <w:rPr>
          <w:rFonts w:ascii="Arial" w:hAnsi="Arial" w:cs="Arial"/>
          <w:b w:val="0"/>
          <w:bCs w:val="0"/>
          <w:kern w:val="0"/>
          <w:sz w:val="32"/>
          <w:szCs w:val="36"/>
        </w:rPr>
        <w:t>Non-Terrestrial Networks reference scenarios</w:t>
      </w:r>
      <w:r>
        <w:rPr>
          <w:rFonts w:hint="eastAsia" w:ascii="Arial" w:hAnsi="Arial" w:cs="Arial"/>
          <w:b w:val="0"/>
          <w:bCs w:val="0"/>
          <w:kern w:val="0"/>
          <w:sz w:val="32"/>
          <w:szCs w:val="36"/>
          <w:lang w:val="en-US" w:eastAsia="zh-CN"/>
        </w:rPr>
        <w:t xml:space="preserve"> (38.821)</w:t>
      </w:r>
    </w:p>
    <w:p>
      <w:pPr>
        <w:pStyle w:val="3"/>
        <w:numPr>
          <w:ilvl w:val="1"/>
          <w:numId w:val="0"/>
        </w:numPr>
        <w:tabs>
          <w:tab w:val="clear" w:pos="575"/>
        </w:tabs>
        <w:ind w:leftChars="0"/>
      </w:pPr>
      <w:bookmarkStart w:id="3" w:name="_Toc527965825"/>
      <w:r>
        <w:t>4.2</w:t>
      </w:r>
      <w:r>
        <w:tab/>
      </w:r>
      <w:r>
        <w:t>Non-Terrestrial Networks reference scenarios</w:t>
      </w:r>
      <w:bookmarkEnd w:id="3"/>
    </w:p>
    <w:p>
      <w:pPr>
        <w:rPr>
          <w:lang w:val="en-US"/>
        </w:rPr>
      </w:pPr>
      <w:r>
        <w:rPr>
          <w:lang w:val="en-US"/>
        </w:rPr>
        <w:t>We shall consider in this document non-terrestrial networks providing access to user equipment in six reference scenarios including</w:t>
      </w:r>
    </w:p>
    <w:p>
      <w:pPr>
        <w:pStyle w:val="288"/>
        <w:numPr>
          <w:ilvl w:val="0"/>
          <w:numId w:val="8"/>
        </w:numPr>
        <w:rPr>
          <w:rFonts w:ascii="Times New Roman" w:hAnsi="Times New Roman"/>
          <w:sz w:val="20"/>
          <w:szCs w:val="20"/>
          <w:lang w:val="en-US"/>
        </w:rPr>
      </w:pPr>
      <w:r>
        <w:rPr>
          <w:rFonts w:ascii="Times New Roman" w:hAnsi="Times New Roman"/>
          <w:sz w:val="20"/>
          <w:szCs w:val="20"/>
          <w:lang w:val="en-US"/>
        </w:rPr>
        <w:t xml:space="preserve">Circular orbiting and </w:t>
      </w:r>
      <w:r>
        <w:rPr>
          <w:rFonts w:ascii="Times New Roman" w:hAnsi="Times New Roman"/>
          <w:sz w:val="20"/>
          <w:szCs w:val="20"/>
          <w:lang w:val="en-US" w:eastAsia="zh-CN"/>
        </w:rPr>
        <w:t xml:space="preserve">notional station keeping </w:t>
      </w:r>
      <w:r>
        <w:rPr>
          <w:rFonts w:ascii="Times New Roman" w:hAnsi="Times New Roman"/>
          <w:sz w:val="20"/>
          <w:szCs w:val="20"/>
          <w:lang w:val="en-US"/>
        </w:rPr>
        <w:t>platforms.</w:t>
      </w:r>
    </w:p>
    <w:p>
      <w:pPr>
        <w:pStyle w:val="288"/>
        <w:numPr>
          <w:ilvl w:val="0"/>
          <w:numId w:val="8"/>
        </w:numPr>
        <w:rPr>
          <w:rFonts w:ascii="Times New Roman" w:hAnsi="Times New Roman"/>
          <w:sz w:val="20"/>
          <w:szCs w:val="20"/>
        </w:rPr>
      </w:pPr>
      <w:r>
        <w:rPr>
          <w:rFonts w:ascii="Times New Roman" w:hAnsi="Times New Roman"/>
          <w:sz w:val="20"/>
          <w:szCs w:val="20"/>
        </w:rPr>
        <w:t>Highest RTD constraint</w:t>
      </w:r>
    </w:p>
    <w:p>
      <w:pPr>
        <w:pStyle w:val="288"/>
        <w:numPr>
          <w:ilvl w:val="0"/>
          <w:numId w:val="8"/>
        </w:numPr>
        <w:rPr>
          <w:rFonts w:ascii="Times New Roman" w:hAnsi="Times New Roman"/>
          <w:sz w:val="20"/>
          <w:szCs w:val="20"/>
        </w:rPr>
      </w:pPr>
      <w:r>
        <w:rPr>
          <w:rFonts w:ascii="Times New Roman" w:hAnsi="Times New Roman"/>
          <w:sz w:val="20"/>
          <w:szCs w:val="20"/>
        </w:rPr>
        <w:t>Highest Doppler constraint</w:t>
      </w:r>
    </w:p>
    <w:p>
      <w:pPr>
        <w:pStyle w:val="288"/>
        <w:numPr>
          <w:ilvl w:val="0"/>
          <w:numId w:val="8"/>
        </w:numPr>
        <w:rPr>
          <w:rFonts w:ascii="Times New Roman" w:hAnsi="Times New Roman"/>
          <w:sz w:val="20"/>
          <w:szCs w:val="20"/>
          <w:lang w:val="en-US"/>
        </w:rPr>
      </w:pPr>
      <w:r>
        <w:rPr>
          <w:rFonts w:ascii="Times New Roman" w:hAnsi="Times New Roman"/>
          <w:sz w:val="20"/>
          <w:szCs w:val="20"/>
          <w:lang w:val="en-US"/>
        </w:rPr>
        <w:t>A transparent and a regenerative payload</w:t>
      </w:r>
    </w:p>
    <w:p>
      <w:pPr>
        <w:pStyle w:val="288"/>
        <w:numPr>
          <w:ilvl w:val="0"/>
          <w:numId w:val="8"/>
        </w:numPr>
        <w:rPr>
          <w:rFonts w:ascii="Times New Roman" w:hAnsi="Times New Roman"/>
          <w:sz w:val="20"/>
          <w:szCs w:val="20"/>
          <w:lang w:val="en-US"/>
        </w:rPr>
      </w:pPr>
      <w:r>
        <w:rPr>
          <w:rFonts w:ascii="Times New Roman" w:hAnsi="Times New Roman"/>
          <w:sz w:val="20"/>
          <w:szCs w:val="20"/>
          <w:lang w:val="en-US"/>
        </w:rPr>
        <w:t xml:space="preserve">One ISL case and one without ISL. Regenerative payload is mandatory in the case of inter-satellite links. </w:t>
      </w:r>
    </w:p>
    <w:p>
      <w:pPr>
        <w:pStyle w:val="288"/>
        <w:numPr>
          <w:ilvl w:val="0"/>
          <w:numId w:val="8"/>
        </w:numPr>
        <w:rPr>
          <w:rFonts w:ascii="Times New Roman" w:hAnsi="Times New Roman"/>
          <w:sz w:val="20"/>
          <w:szCs w:val="20"/>
          <w:lang w:val="en-US"/>
        </w:rPr>
      </w:pPr>
      <w:r>
        <w:rPr>
          <w:rFonts w:ascii="Times New Roman" w:hAnsi="Times New Roman"/>
          <w:sz w:val="20"/>
          <w:szCs w:val="20"/>
        </w:rPr>
        <w:t>Fixed or steerable beams resulting respectively in moving or fixed beam foot print on the ground</w:t>
      </w:r>
    </w:p>
    <w:p>
      <w:pPr>
        <w:rPr>
          <w:lang w:val="en-US"/>
        </w:rPr>
      </w:pPr>
      <w:r>
        <w:rPr>
          <w:lang w:val="en-US"/>
        </w:rPr>
        <w:t>Six scenarios are considered as depicted in Table 4.2-1 and are detailed in Table 4.2-2.</w:t>
      </w:r>
    </w:p>
    <w:p>
      <w:pPr>
        <w:pStyle w:val="88"/>
      </w:pPr>
      <w:r>
        <w:t>Table 4.2-1: Reference scenarios</w:t>
      </w:r>
    </w:p>
    <w:tbl>
      <w:tblPr>
        <w:tblStyle w:val="64"/>
        <w:tblW w:w="740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15"/>
        <w:gridCol w:w="1844"/>
        <w:gridCol w:w="19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615" w:type="dxa"/>
            <w:noWrap w:val="0"/>
            <w:vAlign w:val="center"/>
          </w:tcPr>
          <w:p>
            <w:pPr>
              <w:spacing w:after="0"/>
              <w:rPr>
                <w:rFonts w:eastAsia="Calibri"/>
              </w:rPr>
            </w:pPr>
          </w:p>
        </w:tc>
        <w:tc>
          <w:tcPr>
            <w:tcW w:w="1844" w:type="dxa"/>
            <w:noWrap w:val="0"/>
            <w:vAlign w:val="center"/>
          </w:tcPr>
          <w:p>
            <w:pPr>
              <w:spacing w:after="0"/>
              <w:rPr>
                <w:rFonts w:eastAsia="Calibri"/>
              </w:rPr>
            </w:pPr>
            <w:r>
              <w:rPr>
                <w:rFonts w:eastAsia="Calibri"/>
              </w:rPr>
              <w:t>Transparent satellite</w:t>
            </w:r>
          </w:p>
        </w:tc>
        <w:tc>
          <w:tcPr>
            <w:tcW w:w="1944" w:type="dxa"/>
            <w:noWrap w:val="0"/>
            <w:vAlign w:val="center"/>
          </w:tcPr>
          <w:p>
            <w:pPr>
              <w:spacing w:after="0"/>
              <w:rPr>
                <w:rFonts w:eastAsia="Calibri"/>
              </w:rPr>
            </w:pPr>
            <w:r>
              <w:rPr>
                <w:rFonts w:eastAsia="Calibri"/>
              </w:rPr>
              <w:t>Regenerative satellite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615" w:type="dxa"/>
            <w:noWrap w:val="0"/>
            <w:vAlign w:val="center"/>
          </w:tcPr>
          <w:p>
            <w:pPr>
              <w:spacing w:after="0"/>
              <w:rPr>
                <w:rFonts w:eastAsia="Calibri"/>
              </w:rPr>
            </w:pPr>
            <w:r>
              <w:rPr>
                <w:rFonts w:eastAsia="Calibri"/>
              </w:rPr>
              <w:t>GEO based non-terrestrial access network</w:t>
            </w:r>
          </w:p>
        </w:tc>
        <w:tc>
          <w:tcPr>
            <w:tcW w:w="1844" w:type="dxa"/>
            <w:noWrap w:val="0"/>
            <w:vAlign w:val="center"/>
          </w:tcPr>
          <w:p>
            <w:pPr>
              <w:spacing w:after="0"/>
              <w:rPr>
                <w:rFonts w:eastAsia="Calibri"/>
              </w:rPr>
            </w:pPr>
            <w:r>
              <w:rPr>
                <w:rFonts w:eastAsia="Calibri"/>
              </w:rPr>
              <w:t>Scenario A</w:t>
            </w:r>
          </w:p>
        </w:tc>
        <w:tc>
          <w:tcPr>
            <w:tcW w:w="1944" w:type="dxa"/>
            <w:noWrap w:val="0"/>
            <w:vAlign w:val="center"/>
          </w:tcPr>
          <w:p>
            <w:pPr>
              <w:spacing w:after="0"/>
              <w:rPr>
                <w:rFonts w:eastAsia="Calibri"/>
              </w:rPr>
            </w:pPr>
            <w:r>
              <w:rPr>
                <w:rFonts w:eastAsia="Calibri"/>
              </w:rPr>
              <w:t>Scenario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615" w:type="dxa"/>
            <w:noWrap w:val="0"/>
            <w:vAlign w:val="center"/>
          </w:tcPr>
          <w:p>
            <w:pPr>
              <w:spacing w:after="0"/>
              <w:rPr>
                <w:rFonts w:eastAsia="Calibri"/>
              </w:rPr>
            </w:pPr>
            <w:r>
              <w:rPr>
                <w:rFonts w:eastAsia="Calibri"/>
              </w:rPr>
              <w:t>LEO based non-terrestrial access network:</w:t>
            </w:r>
          </w:p>
          <w:p>
            <w:pPr>
              <w:spacing w:after="0"/>
              <w:rPr>
                <w:rFonts w:eastAsia="Calibri"/>
              </w:rPr>
            </w:pPr>
            <w:r>
              <w:rPr>
                <w:rFonts w:eastAsia="Calibri"/>
              </w:rPr>
              <w:t>steerable beams</w:t>
            </w:r>
          </w:p>
        </w:tc>
        <w:tc>
          <w:tcPr>
            <w:tcW w:w="1844" w:type="dxa"/>
            <w:noWrap w:val="0"/>
            <w:vAlign w:val="center"/>
          </w:tcPr>
          <w:p>
            <w:pPr>
              <w:spacing w:after="0"/>
              <w:rPr>
                <w:rFonts w:eastAsia="Calibri"/>
              </w:rPr>
            </w:pPr>
            <w:r>
              <w:rPr>
                <w:rFonts w:eastAsia="Calibri"/>
              </w:rPr>
              <w:t>Scenario C1</w:t>
            </w:r>
          </w:p>
        </w:tc>
        <w:tc>
          <w:tcPr>
            <w:tcW w:w="1944" w:type="dxa"/>
            <w:noWrap w:val="0"/>
            <w:vAlign w:val="center"/>
          </w:tcPr>
          <w:p>
            <w:pPr>
              <w:spacing w:after="0"/>
              <w:rPr>
                <w:rFonts w:eastAsia="Calibri"/>
              </w:rPr>
            </w:pPr>
            <w:r>
              <w:rPr>
                <w:rFonts w:eastAsia="Calibri"/>
              </w:rPr>
              <w:t>Scenario D1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615" w:type="dxa"/>
            <w:tcBorders>
              <w:top w:val="single" w:color="auto" w:sz="4" w:space="0"/>
              <w:left w:val="single" w:color="auto" w:sz="4" w:space="0"/>
              <w:bottom w:val="single" w:color="auto" w:sz="4" w:space="0"/>
              <w:right w:val="single" w:color="auto" w:sz="4" w:space="0"/>
            </w:tcBorders>
            <w:noWrap w:val="0"/>
            <w:vAlign w:val="center"/>
          </w:tcPr>
          <w:p>
            <w:pPr>
              <w:spacing w:after="0"/>
              <w:rPr>
                <w:rFonts w:eastAsia="Calibri"/>
              </w:rPr>
            </w:pPr>
            <w:r>
              <w:rPr>
                <w:rFonts w:eastAsia="Calibri"/>
              </w:rPr>
              <w:t>LEO based non-terrestrial access network:</w:t>
            </w:r>
          </w:p>
          <w:p>
            <w:pPr>
              <w:spacing w:after="0"/>
              <w:rPr>
                <w:rFonts w:eastAsia="Calibri"/>
              </w:rPr>
            </w:pPr>
            <w:r>
              <w:rPr>
                <w:rFonts w:eastAsia="Calibri"/>
              </w:rPr>
              <w:t>the beams move with the satellite</w:t>
            </w:r>
          </w:p>
        </w:tc>
        <w:tc>
          <w:tcPr>
            <w:tcW w:w="1844" w:type="dxa"/>
            <w:tcBorders>
              <w:top w:val="single" w:color="auto" w:sz="4" w:space="0"/>
              <w:left w:val="single" w:color="auto" w:sz="4" w:space="0"/>
              <w:bottom w:val="single" w:color="auto" w:sz="4" w:space="0"/>
              <w:right w:val="single" w:color="auto" w:sz="4" w:space="0"/>
            </w:tcBorders>
            <w:noWrap w:val="0"/>
            <w:vAlign w:val="center"/>
          </w:tcPr>
          <w:p>
            <w:pPr>
              <w:spacing w:after="0"/>
              <w:rPr>
                <w:rFonts w:eastAsia="Calibri"/>
              </w:rPr>
            </w:pPr>
            <w:r>
              <w:rPr>
                <w:rFonts w:eastAsia="Calibri"/>
              </w:rPr>
              <w:t>Scenario C2</w:t>
            </w:r>
          </w:p>
        </w:tc>
        <w:tc>
          <w:tcPr>
            <w:tcW w:w="1944" w:type="dxa"/>
            <w:tcBorders>
              <w:top w:val="single" w:color="auto" w:sz="4" w:space="0"/>
              <w:left w:val="single" w:color="auto" w:sz="4" w:space="0"/>
              <w:bottom w:val="single" w:color="auto" w:sz="4" w:space="0"/>
              <w:right w:val="single" w:color="auto" w:sz="4" w:space="0"/>
            </w:tcBorders>
            <w:noWrap w:val="0"/>
            <w:vAlign w:val="center"/>
          </w:tcPr>
          <w:p>
            <w:pPr>
              <w:spacing w:after="0"/>
              <w:rPr>
                <w:rFonts w:eastAsia="Calibri"/>
              </w:rPr>
            </w:pPr>
            <w:r>
              <w:rPr>
                <w:rFonts w:eastAsia="Calibri"/>
              </w:rPr>
              <w:t>Scenario D2</w:t>
            </w:r>
          </w:p>
        </w:tc>
      </w:tr>
    </w:tbl>
    <w:p>
      <w:pPr>
        <w:rPr>
          <w:lang w:val="en-US"/>
        </w:rPr>
      </w:pPr>
    </w:p>
    <w:p>
      <w:pPr>
        <w:pStyle w:val="88"/>
      </w:pPr>
      <w:r>
        <w:t>Table 4.2-2: Reference scenario parameters</w:t>
      </w:r>
    </w:p>
    <w:tbl>
      <w:tblPr>
        <w:tblStyle w:val="64"/>
        <w:tblW w:w="98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3883"/>
        <w:gridCol w:w="31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835" w:type="dxa"/>
            <w:noWrap w:val="0"/>
            <w:vAlign w:val="center"/>
          </w:tcPr>
          <w:p>
            <w:pPr>
              <w:spacing w:after="0"/>
              <w:rPr>
                <w:rFonts w:eastAsia="Calibri"/>
              </w:rPr>
            </w:pPr>
            <w:r>
              <w:rPr>
                <w:rFonts w:eastAsia="Calibri"/>
              </w:rPr>
              <w:t>Scenarios</w:t>
            </w:r>
          </w:p>
        </w:tc>
        <w:tc>
          <w:tcPr>
            <w:tcW w:w="3883" w:type="dxa"/>
            <w:noWrap w:val="0"/>
            <w:vAlign w:val="center"/>
          </w:tcPr>
          <w:p>
            <w:pPr>
              <w:spacing w:after="0"/>
              <w:rPr>
                <w:rFonts w:eastAsia="Calibri"/>
              </w:rPr>
            </w:pPr>
            <w:r>
              <w:rPr>
                <w:rFonts w:eastAsia="Calibri"/>
              </w:rPr>
              <w:t>GEO based non-terrestrial access network (Scenario A and B)</w:t>
            </w:r>
          </w:p>
        </w:tc>
        <w:tc>
          <w:tcPr>
            <w:tcW w:w="3139" w:type="dxa"/>
            <w:noWrap w:val="0"/>
            <w:vAlign w:val="center"/>
          </w:tcPr>
          <w:p>
            <w:pPr>
              <w:spacing w:after="0"/>
              <w:rPr>
                <w:rFonts w:eastAsia="Calibri"/>
              </w:rPr>
            </w:pPr>
            <w:r>
              <w:rPr>
                <w:rFonts w:eastAsia="Calibri"/>
              </w:rPr>
              <w:t>LEO based non-terrestrial access network (Scenario C &amp; 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835" w:type="dxa"/>
            <w:noWrap w:val="0"/>
            <w:vAlign w:val="center"/>
          </w:tcPr>
          <w:p>
            <w:pPr>
              <w:spacing w:after="0"/>
              <w:rPr>
                <w:rFonts w:eastAsia="Calibri"/>
              </w:rPr>
            </w:pPr>
            <w:r>
              <w:rPr>
                <w:rFonts w:eastAsia="Calibri"/>
              </w:rPr>
              <w:t>Orbit type</w:t>
            </w:r>
          </w:p>
        </w:tc>
        <w:tc>
          <w:tcPr>
            <w:tcW w:w="3883" w:type="dxa"/>
            <w:noWrap w:val="0"/>
            <w:vAlign w:val="center"/>
          </w:tcPr>
          <w:p>
            <w:pPr>
              <w:spacing w:after="0"/>
              <w:rPr>
                <w:rFonts w:eastAsia="Calibri"/>
              </w:rPr>
            </w:pPr>
            <w:r>
              <w:rPr>
                <w:rFonts w:eastAsia="Calibri"/>
              </w:rPr>
              <w:t xml:space="preserve">notional station keeping position fixed in terms of elevation/azimuth with respect to a given earth point </w:t>
            </w:r>
          </w:p>
        </w:tc>
        <w:tc>
          <w:tcPr>
            <w:tcW w:w="3139" w:type="dxa"/>
            <w:noWrap w:val="0"/>
            <w:vAlign w:val="center"/>
          </w:tcPr>
          <w:p>
            <w:pPr>
              <w:spacing w:after="0"/>
              <w:rPr>
                <w:rFonts w:eastAsia="Calibri"/>
              </w:rPr>
            </w:pPr>
            <w:r>
              <w:rPr>
                <w:rFonts w:eastAsia="Calibri"/>
              </w:rPr>
              <w:t>circular orbiting around the earth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835" w:type="dxa"/>
            <w:noWrap w:val="0"/>
            <w:vAlign w:val="center"/>
          </w:tcPr>
          <w:p>
            <w:pPr>
              <w:spacing w:after="0"/>
              <w:rPr>
                <w:rFonts w:eastAsia="Calibri"/>
              </w:rPr>
            </w:pPr>
            <w:r>
              <w:rPr>
                <w:rFonts w:eastAsia="Calibri"/>
              </w:rPr>
              <w:t>Altitude</w:t>
            </w:r>
          </w:p>
        </w:tc>
        <w:tc>
          <w:tcPr>
            <w:tcW w:w="3883" w:type="dxa"/>
            <w:noWrap w:val="0"/>
            <w:vAlign w:val="center"/>
          </w:tcPr>
          <w:p>
            <w:pPr>
              <w:spacing w:after="0"/>
              <w:rPr>
                <w:rFonts w:eastAsia="Calibri"/>
              </w:rPr>
            </w:pPr>
            <w:r>
              <w:rPr>
                <w:rFonts w:eastAsia="Calibri"/>
              </w:rPr>
              <w:t>35,786 km</w:t>
            </w:r>
          </w:p>
        </w:tc>
        <w:tc>
          <w:tcPr>
            <w:tcW w:w="3139" w:type="dxa"/>
            <w:noWrap w:val="0"/>
            <w:vAlign w:val="center"/>
          </w:tcPr>
          <w:p>
            <w:pPr>
              <w:spacing w:after="0"/>
              <w:rPr>
                <w:rFonts w:eastAsia="Calibri"/>
              </w:rPr>
            </w:pPr>
            <w:r>
              <w:rPr>
                <w:rFonts w:eastAsia="Calibri"/>
              </w:rPr>
              <w:t>600 km</w:t>
            </w:r>
          </w:p>
          <w:p>
            <w:pPr>
              <w:spacing w:after="0"/>
              <w:rPr>
                <w:rFonts w:eastAsia="Calibri"/>
              </w:rPr>
            </w:pPr>
            <w:r>
              <w:rPr>
                <w:rFonts w:eastAsia="Calibri"/>
              </w:rPr>
              <w:t>1,200 km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835" w:type="dxa"/>
            <w:noWrap w:val="0"/>
            <w:vAlign w:val="center"/>
          </w:tcPr>
          <w:p>
            <w:pPr>
              <w:spacing w:after="0"/>
              <w:rPr>
                <w:rFonts w:eastAsia="Calibri"/>
              </w:rPr>
            </w:pPr>
            <w:r>
              <w:rPr>
                <w:rFonts w:eastAsia="Calibri"/>
              </w:rPr>
              <w:t>Spectrum (service link)</w:t>
            </w:r>
          </w:p>
        </w:tc>
        <w:tc>
          <w:tcPr>
            <w:tcW w:w="7022" w:type="dxa"/>
            <w:gridSpan w:val="2"/>
            <w:noWrap w:val="0"/>
            <w:vAlign w:val="center"/>
          </w:tcPr>
          <w:p>
            <w:pPr>
              <w:spacing w:after="0"/>
              <w:rPr>
                <w:rFonts w:eastAsia="Calibri"/>
              </w:rPr>
            </w:pPr>
            <w:r>
              <w:rPr>
                <w:rFonts w:eastAsia="Calibri"/>
              </w:rPr>
              <w:t>&lt;6 GHz (e.g. 2 GHz)</w:t>
            </w:r>
          </w:p>
          <w:p>
            <w:pPr>
              <w:spacing w:after="0"/>
              <w:rPr>
                <w:rFonts w:eastAsia="Calibri"/>
              </w:rPr>
            </w:pPr>
            <w:r>
              <w:rPr>
                <w:rFonts w:eastAsia="Calibri"/>
              </w:rPr>
              <w:t>&gt;6 GHz (e.g. DL 20 GHz, UL 30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835" w:type="dxa"/>
            <w:noWrap w:val="0"/>
            <w:vAlign w:val="center"/>
          </w:tcPr>
          <w:p>
            <w:pPr>
              <w:spacing w:after="0"/>
              <w:rPr>
                <w:rFonts w:eastAsia="Calibri"/>
              </w:rPr>
            </w:pPr>
            <w:r>
              <w:rPr>
                <w:rFonts w:eastAsia="Calibri"/>
              </w:rPr>
              <w:t>Max channel bandwidth (service link)</w:t>
            </w:r>
          </w:p>
        </w:tc>
        <w:tc>
          <w:tcPr>
            <w:tcW w:w="7022" w:type="dxa"/>
            <w:gridSpan w:val="2"/>
            <w:noWrap w:val="0"/>
            <w:vAlign w:val="center"/>
          </w:tcPr>
          <w:p>
            <w:pPr>
              <w:spacing w:after="0"/>
              <w:rPr>
                <w:rFonts w:eastAsia="Calibri"/>
              </w:rPr>
            </w:pPr>
            <w:r>
              <w:rPr>
                <w:rFonts w:eastAsia="Calibri"/>
              </w:rPr>
              <w:t>30 MHz for band &lt; 6 GHz</w:t>
            </w:r>
          </w:p>
          <w:p>
            <w:pPr>
              <w:spacing w:after="0"/>
              <w:rPr>
                <w:rFonts w:eastAsia="Calibri"/>
              </w:rPr>
            </w:pPr>
            <w:r>
              <w:rPr>
                <w:rFonts w:eastAsia="Calibri"/>
              </w:rPr>
              <w:t>400 MHz for band &gt; 6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835" w:type="dxa"/>
            <w:noWrap w:val="0"/>
            <w:vAlign w:val="center"/>
          </w:tcPr>
          <w:p>
            <w:pPr>
              <w:spacing w:after="0"/>
              <w:rPr>
                <w:rFonts w:eastAsia="Calibri"/>
              </w:rPr>
            </w:pPr>
            <w:r>
              <w:rPr>
                <w:rFonts w:eastAsia="Calibri"/>
              </w:rPr>
              <w:t>Payload</w:t>
            </w:r>
          </w:p>
        </w:tc>
        <w:tc>
          <w:tcPr>
            <w:tcW w:w="3883" w:type="dxa"/>
            <w:noWrap w:val="0"/>
            <w:vAlign w:val="center"/>
          </w:tcPr>
          <w:p>
            <w:pPr>
              <w:spacing w:after="0"/>
              <w:rPr>
                <w:rFonts w:eastAsia="Calibri"/>
              </w:rPr>
            </w:pPr>
            <w:r>
              <w:rPr>
                <w:rFonts w:eastAsia="Calibri"/>
              </w:rPr>
              <w:t>Scenario A : Transparent (including radio frequency function only)</w:t>
            </w:r>
          </w:p>
          <w:p>
            <w:pPr>
              <w:spacing w:after="0"/>
              <w:rPr>
                <w:rFonts w:eastAsia="Calibri"/>
              </w:rPr>
            </w:pPr>
            <w:r>
              <w:rPr>
                <w:rFonts w:eastAsia="Calibri"/>
              </w:rPr>
              <w:t>Scenario B: regenerative (including all or part of RAN functions)</w:t>
            </w:r>
          </w:p>
        </w:tc>
        <w:tc>
          <w:tcPr>
            <w:tcW w:w="3139" w:type="dxa"/>
            <w:noWrap w:val="0"/>
            <w:vAlign w:val="center"/>
          </w:tcPr>
          <w:p>
            <w:pPr>
              <w:spacing w:after="0"/>
              <w:rPr>
                <w:rFonts w:eastAsia="Calibri"/>
              </w:rPr>
            </w:pPr>
            <w:r>
              <w:rPr>
                <w:rFonts w:eastAsia="Calibri"/>
              </w:rPr>
              <w:t xml:space="preserve">Scenario C: </w:t>
            </w:r>
            <w:r>
              <w:rPr>
                <w:rFonts w:eastAsia="宋体"/>
              </w:rPr>
              <w:t>Transparent</w:t>
            </w:r>
            <w:r>
              <w:rPr>
                <w:rFonts w:eastAsia="Calibri"/>
              </w:rPr>
              <w:t xml:space="preserve"> (including radio frequency function only)</w:t>
            </w:r>
          </w:p>
          <w:p>
            <w:pPr>
              <w:spacing w:after="0"/>
              <w:rPr>
                <w:rFonts w:eastAsia="Calibri"/>
              </w:rPr>
            </w:pPr>
            <w:r>
              <w:rPr>
                <w:rFonts w:eastAsia="Calibri"/>
              </w:rPr>
              <w:t>Scenario D: Regenerative (including all or part of RAN functions)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835" w:type="dxa"/>
            <w:noWrap w:val="0"/>
            <w:vAlign w:val="center"/>
          </w:tcPr>
          <w:p>
            <w:pPr>
              <w:spacing w:after="0"/>
              <w:rPr>
                <w:rFonts w:eastAsia="Calibri"/>
              </w:rPr>
            </w:pPr>
            <w:r>
              <w:rPr>
                <w:rFonts w:eastAsia="Calibri"/>
              </w:rPr>
              <w:t>Inter-Satellite link</w:t>
            </w:r>
          </w:p>
        </w:tc>
        <w:tc>
          <w:tcPr>
            <w:tcW w:w="3883" w:type="dxa"/>
            <w:noWrap w:val="0"/>
            <w:vAlign w:val="center"/>
          </w:tcPr>
          <w:p>
            <w:pPr>
              <w:spacing w:after="0"/>
              <w:rPr>
                <w:rFonts w:eastAsia="Calibri"/>
              </w:rPr>
            </w:pPr>
            <w:r>
              <w:rPr>
                <w:rFonts w:eastAsia="Calibri"/>
              </w:rPr>
              <w:t>No</w:t>
            </w:r>
          </w:p>
        </w:tc>
        <w:tc>
          <w:tcPr>
            <w:tcW w:w="3139" w:type="dxa"/>
            <w:noWrap w:val="0"/>
            <w:vAlign w:val="center"/>
          </w:tcPr>
          <w:p>
            <w:pPr>
              <w:spacing w:after="0"/>
              <w:rPr>
                <w:rFonts w:eastAsia="Calibri"/>
                <w:lang w:val="it-IT"/>
              </w:rPr>
            </w:pPr>
            <w:r>
              <w:rPr>
                <w:rFonts w:eastAsia="Calibri"/>
                <w:lang w:val="it-IT"/>
              </w:rPr>
              <w:t>Scenario C: No</w:t>
            </w:r>
          </w:p>
          <w:p>
            <w:pPr>
              <w:spacing w:after="0"/>
              <w:rPr>
                <w:rFonts w:eastAsia="Calibri"/>
                <w:lang w:val="it-IT"/>
              </w:rPr>
            </w:pPr>
            <w:r>
              <w:rPr>
                <w:rFonts w:eastAsia="Calibri"/>
                <w:lang w:val="it-IT"/>
              </w:rPr>
              <w:t>Scenario D: 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835" w:type="dxa"/>
            <w:noWrap w:val="0"/>
            <w:vAlign w:val="center"/>
          </w:tcPr>
          <w:p>
            <w:pPr>
              <w:spacing w:after="0"/>
              <w:rPr>
                <w:rFonts w:eastAsia="Calibri"/>
              </w:rPr>
            </w:pPr>
            <w:r>
              <w:rPr>
                <w:rFonts w:eastAsia="Calibri"/>
              </w:rPr>
              <w:t>Earth-fixed beams</w:t>
            </w:r>
          </w:p>
        </w:tc>
        <w:tc>
          <w:tcPr>
            <w:tcW w:w="3883" w:type="dxa"/>
            <w:noWrap w:val="0"/>
            <w:vAlign w:val="center"/>
          </w:tcPr>
          <w:p>
            <w:pPr>
              <w:spacing w:after="0"/>
              <w:rPr>
                <w:rFonts w:eastAsia="Calibri"/>
              </w:rPr>
            </w:pPr>
            <w:r>
              <w:rPr>
                <w:rFonts w:eastAsia="Calibri"/>
                <w:highlight w:val="yellow"/>
              </w:rPr>
              <w:t>Yes</w:t>
            </w:r>
          </w:p>
        </w:tc>
        <w:tc>
          <w:tcPr>
            <w:tcW w:w="3139" w:type="dxa"/>
            <w:noWrap w:val="0"/>
            <w:vAlign w:val="center"/>
          </w:tcPr>
          <w:p>
            <w:pPr>
              <w:spacing w:after="0"/>
              <w:rPr>
                <w:rFonts w:eastAsia="Calibri"/>
                <w:highlight w:val="yellow"/>
              </w:rPr>
            </w:pPr>
            <w:r>
              <w:rPr>
                <w:rFonts w:eastAsia="Calibri"/>
                <w:highlight w:val="yellow"/>
              </w:rPr>
              <w:t>Scenario C1: Yes (steerable beams), see note 1</w:t>
            </w:r>
          </w:p>
          <w:p>
            <w:pPr>
              <w:spacing w:after="0"/>
              <w:rPr>
                <w:rFonts w:eastAsia="Calibri"/>
                <w:highlight w:val="yellow"/>
              </w:rPr>
            </w:pPr>
            <w:r>
              <w:rPr>
                <w:rFonts w:eastAsia="Calibri"/>
                <w:highlight w:val="yellow"/>
              </w:rPr>
              <w:t>Scenario C2: No (the beams move with the satellite)</w:t>
            </w:r>
          </w:p>
          <w:p>
            <w:pPr>
              <w:spacing w:after="0"/>
              <w:rPr>
                <w:rFonts w:eastAsia="Calibri"/>
                <w:highlight w:val="yellow"/>
              </w:rPr>
            </w:pPr>
            <w:r>
              <w:rPr>
                <w:rFonts w:eastAsia="Calibri"/>
                <w:highlight w:val="yellow"/>
              </w:rPr>
              <w:t>Scenario D 1: Yes (steerable beams), see note 1</w:t>
            </w:r>
          </w:p>
          <w:p>
            <w:pPr>
              <w:spacing w:after="0"/>
              <w:rPr>
                <w:rFonts w:eastAsia="Calibri"/>
              </w:rPr>
            </w:pPr>
            <w:r>
              <w:rPr>
                <w:rFonts w:eastAsia="Calibri"/>
                <w:highlight w:val="yellow"/>
              </w:rPr>
              <w:t>Scenario D 2: No (the beams move with the satellite)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835" w:type="dxa"/>
            <w:noWrap w:val="0"/>
            <w:vAlign w:val="center"/>
          </w:tcPr>
          <w:p>
            <w:pPr>
              <w:spacing w:after="0"/>
              <w:rPr>
                <w:rFonts w:eastAsia="Calibri"/>
              </w:rPr>
            </w:pPr>
            <w:r>
              <w:rPr>
                <w:rFonts w:eastAsia="Calibri"/>
              </w:rPr>
              <w:t>Max beam foot print diameter at nadir</w:t>
            </w:r>
          </w:p>
        </w:tc>
        <w:tc>
          <w:tcPr>
            <w:tcW w:w="3883" w:type="dxa"/>
            <w:noWrap w:val="0"/>
            <w:vAlign w:val="center"/>
          </w:tcPr>
          <w:p>
            <w:pPr>
              <w:spacing w:after="0"/>
              <w:rPr>
                <w:rFonts w:eastAsia="Calibri"/>
              </w:rPr>
            </w:pPr>
            <w:r>
              <w:rPr>
                <w:rFonts w:eastAsia="Calibri"/>
              </w:rPr>
              <w:t>500 km</w:t>
            </w:r>
          </w:p>
        </w:tc>
        <w:tc>
          <w:tcPr>
            <w:tcW w:w="3139" w:type="dxa"/>
            <w:noWrap w:val="0"/>
            <w:vAlign w:val="center"/>
          </w:tcPr>
          <w:p>
            <w:pPr>
              <w:spacing w:after="0"/>
              <w:rPr>
                <w:rFonts w:eastAsia="Calibri"/>
              </w:rPr>
            </w:pPr>
            <w:r>
              <w:rPr>
                <w:rFonts w:eastAsia="Calibri"/>
              </w:rPr>
              <w:t>200 km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835" w:type="dxa"/>
            <w:noWrap w:val="0"/>
            <w:vAlign w:val="center"/>
          </w:tcPr>
          <w:p>
            <w:pPr>
              <w:spacing w:after="0"/>
              <w:rPr>
                <w:rFonts w:eastAsia="Calibri"/>
              </w:rPr>
            </w:pPr>
            <w:r>
              <w:rPr>
                <w:rFonts w:eastAsia="Calibri"/>
              </w:rPr>
              <w:t>Min Elevation angle for both sat-gateway and user equipment</w:t>
            </w:r>
          </w:p>
        </w:tc>
        <w:tc>
          <w:tcPr>
            <w:tcW w:w="3883" w:type="dxa"/>
            <w:noWrap w:val="0"/>
            <w:vAlign w:val="center"/>
          </w:tcPr>
          <w:p>
            <w:pPr>
              <w:spacing w:after="0"/>
              <w:rPr>
                <w:rFonts w:eastAsia="Calibri"/>
              </w:rPr>
            </w:pPr>
            <w:r>
              <w:rPr>
                <w:rFonts w:eastAsia="Calibri"/>
              </w:rPr>
              <w:t>10°</w:t>
            </w:r>
          </w:p>
        </w:tc>
        <w:tc>
          <w:tcPr>
            <w:tcW w:w="3139" w:type="dxa"/>
            <w:noWrap w:val="0"/>
            <w:vAlign w:val="center"/>
          </w:tcPr>
          <w:p>
            <w:pPr>
              <w:spacing w:after="0"/>
              <w:rPr>
                <w:rFonts w:eastAsia="Calibri"/>
              </w:rPr>
            </w:pPr>
            <w:r>
              <w:rPr>
                <w:rFonts w:eastAsia="Calibri"/>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835" w:type="dxa"/>
            <w:noWrap w:val="0"/>
            <w:vAlign w:val="center"/>
          </w:tcPr>
          <w:p>
            <w:pPr>
              <w:spacing w:after="0"/>
              <w:rPr>
                <w:rFonts w:eastAsia="Calibri"/>
              </w:rPr>
            </w:pPr>
            <w:r>
              <w:rPr>
                <w:rFonts w:eastAsia="Calibri"/>
              </w:rPr>
              <w:t>Max distance between satellite and user equipment at min elevation angle</w:t>
            </w:r>
          </w:p>
        </w:tc>
        <w:tc>
          <w:tcPr>
            <w:tcW w:w="3883" w:type="dxa"/>
            <w:noWrap w:val="0"/>
            <w:vAlign w:val="center"/>
          </w:tcPr>
          <w:p>
            <w:pPr>
              <w:spacing w:after="0"/>
              <w:rPr>
                <w:rFonts w:eastAsia="Calibri"/>
              </w:rPr>
            </w:pPr>
            <w:r>
              <w:rPr>
                <w:rFonts w:eastAsia="Calibri"/>
              </w:rPr>
              <w:t>40,586 km</w:t>
            </w:r>
          </w:p>
        </w:tc>
        <w:tc>
          <w:tcPr>
            <w:tcW w:w="3139" w:type="dxa"/>
            <w:noWrap w:val="0"/>
            <w:vAlign w:val="center"/>
          </w:tcPr>
          <w:p>
            <w:pPr>
              <w:spacing w:after="0"/>
              <w:rPr>
                <w:rFonts w:eastAsia="Calibri"/>
              </w:rPr>
            </w:pPr>
            <w:r>
              <w:rPr>
                <w:rFonts w:eastAsia="Calibri"/>
              </w:rPr>
              <w:t>1,932 km (600 km altitude)</w:t>
            </w:r>
          </w:p>
          <w:p>
            <w:pPr>
              <w:spacing w:after="0"/>
              <w:rPr>
                <w:rFonts w:eastAsia="Calibri"/>
              </w:rPr>
            </w:pPr>
            <w:r>
              <w:rPr>
                <w:rFonts w:eastAsia="Calibri"/>
              </w:rPr>
              <w:t>3,131 km (1,200 km altitude)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835" w:type="dxa"/>
            <w:noWrap w:val="0"/>
            <w:vAlign w:val="center"/>
          </w:tcPr>
          <w:p>
            <w:pPr>
              <w:spacing w:after="0"/>
              <w:rPr>
                <w:rFonts w:eastAsia="Calibri"/>
              </w:rPr>
            </w:pPr>
            <w:r>
              <w:rPr>
                <w:rFonts w:eastAsia="Calibri"/>
              </w:rPr>
              <w:t>Max Round Trip Delay (propagation delay only)</w:t>
            </w:r>
          </w:p>
        </w:tc>
        <w:tc>
          <w:tcPr>
            <w:tcW w:w="3883" w:type="dxa"/>
            <w:noWrap w:val="0"/>
            <w:vAlign w:val="center"/>
          </w:tcPr>
          <w:p>
            <w:pPr>
              <w:spacing w:after="0"/>
              <w:rPr>
                <w:rFonts w:eastAsia="Calibri"/>
              </w:rPr>
            </w:pPr>
            <w:r>
              <w:rPr>
                <w:rFonts w:eastAsia="Calibri"/>
              </w:rPr>
              <w:t>Scenario A: 541.14 ms (service and feeder links)</w:t>
            </w:r>
          </w:p>
          <w:p>
            <w:pPr>
              <w:spacing w:after="0"/>
              <w:rPr>
                <w:rFonts w:eastAsia="Calibri"/>
              </w:rPr>
            </w:pPr>
            <w:r>
              <w:rPr>
                <w:rFonts w:eastAsia="Calibri"/>
              </w:rPr>
              <w:t>Scenario B: 271.57ms (service link only)</w:t>
            </w:r>
          </w:p>
        </w:tc>
        <w:tc>
          <w:tcPr>
            <w:tcW w:w="3139" w:type="dxa"/>
            <w:noWrap w:val="0"/>
            <w:vAlign w:val="center"/>
          </w:tcPr>
          <w:p>
            <w:pPr>
              <w:spacing w:after="0"/>
              <w:rPr>
                <w:rFonts w:eastAsia="Calibri"/>
              </w:rPr>
            </w:pPr>
            <w:r>
              <w:rPr>
                <w:rFonts w:eastAsia="Calibri"/>
              </w:rPr>
              <w:t>Scenario C: (transparent payload: service and feeder links)</w:t>
            </w:r>
          </w:p>
          <w:p>
            <w:pPr>
              <w:numPr>
                <w:ilvl w:val="0"/>
                <w:numId w:val="9"/>
              </w:numPr>
              <w:overflowPunct w:val="0"/>
              <w:autoSpaceDE w:val="0"/>
              <w:autoSpaceDN w:val="0"/>
              <w:adjustRightInd w:val="0"/>
              <w:spacing w:after="0"/>
              <w:jc w:val="both"/>
              <w:textAlignment w:val="baseline"/>
              <w:rPr>
                <w:rFonts w:eastAsia="Calibri"/>
              </w:rPr>
            </w:pPr>
            <w:r>
              <w:rPr>
                <w:rFonts w:eastAsia="Calibri"/>
              </w:rPr>
              <w:t>25.76ms(600km)</w:t>
            </w:r>
          </w:p>
          <w:p>
            <w:pPr>
              <w:numPr>
                <w:ilvl w:val="0"/>
                <w:numId w:val="9"/>
              </w:numPr>
              <w:overflowPunct w:val="0"/>
              <w:autoSpaceDE w:val="0"/>
              <w:autoSpaceDN w:val="0"/>
              <w:adjustRightInd w:val="0"/>
              <w:spacing w:after="0"/>
              <w:jc w:val="both"/>
              <w:textAlignment w:val="baseline"/>
              <w:rPr>
                <w:rFonts w:eastAsia="Calibri"/>
              </w:rPr>
            </w:pPr>
            <w:r>
              <w:rPr>
                <w:rFonts w:eastAsia="Calibri"/>
              </w:rPr>
              <w:t>41.75ms(1200km)</w:t>
            </w:r>
          </w:p>
          <w:p>
            <w:pPr>
              <w:spacing w:after="0"/>
              <w:rPr>
                <w:rFonts w:eastAsia="Calibri"/>
              </w:rPr>
            </w:pPr>
          </w:p>
          <w:p>
            <w:pPr>
              <w:spacing w:after="0"/>
              <w:rPr>
                <w:rFonts w:eastAsia="Calibri"/>
              </w:rPr>
            </w:pPr>
            <w:r>
              <w:rPr>
                <w:rFonts w:eastAsia="Calibri"/>
              </w:rPr>
              <w:t>Scenario D: (regenerative payload: service link only)</w:t>
            </w:r>
          </w:p>
          <w:p>
            <w:pPr>
              <w:numPr>
                <w:ilvl w:val="0"/>
                <w:numId w:val="9"/>
              </w:numPr>
              <w:overflowPunct w:val="0"/>
              <w:autoSpaceDE w:val="0"/>
              <w:autoSpaceDN w:val="0"/>
              <w:adjustRightInd w:val="0"/>
              <w:spacing w:after="0"/>
              <w:jc w:val="both"/>
              <w:textAlignment w:val="baseline"/>
              <w:rPr>
                <w:rFonts w:eastAsia="Calibri"/>
              </w:rPr>
            </w:pPr>
            <w:r>
              <w:rPr>
                <w:rFonts w:eastAsia="Calibri"/>
              </w:rPr>
              <w:t>12.88ms(600km)</w:t>
            </w:r>
          </w:p>
          <w:p>
            <w:pPr>
              <w:numPr>
                <w:ilvl w:val="0"/>
                <w:numId w:val="9"/>
              </w:numPr>
              <w:overflowPunct w:val="0"/>
              <w:autoSpaceDE w:val="0"/>
              <w:autoSpaceDN w:val="0"/>
              <w:adjustRightInd w:val="0"/>
              <w:spacing w:after="0"/>
              <w:jc w:val="both"/>
              <w:textAlignment w:val="baseline"/>
            </w:pPr>
            <w:r>
              <w:rPr>
                <w:rFonts w:eastAsia="Calibri"/>
              </w:rPr>
              <w:t>20.87ms(1200km)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835" w:type="dxa"/>
            <w:noWrap w:val="0"/>
            <w:vAlign w:val="center"/>
          </w:tcPr>
          <w:p>
            <w:pPr>
              <w:spacing w:after="0"/>
              <w:rPr>
                <w:rFonts w:eastAsia="Calibri"/>
              </w:rPr>
            </w:pPr>
            <w:r>
              <w:rPr>
                <w:rFonts w:eastAsia="Calibri"/>
              </w:rPr>
              <w:t>Max delay variation within a beam (earth fixed user equipment)</w:t>
            </w:r>
          </w:p>
        </w:tc>
        <w:tc>
          <w:tcPr>
            <w:tcW w:w="3883" w:type="dxa"/>
            <w:noWrap w:val="0"/>
            <w:vAlign w:val="center"/>
          </w:tcPr>
          <w:p>
            <w:pPr>
              <w:spacing w:after="0"/>
              <w:rPr>
                <w:rFonts w:eastAsia="Calibri"/>
              </w:rPr>
            </w:pPr>
            <w:r>
              <w:rPr>
                <w:rFonts w:eastAsia="Calibri"/>
              </w:rPr>
              <w:t>16ms</w:t>
            </w:r>
          </w:p>
        </w:tc>
        <w:tc>
          <w:tcPr>
            <w:tcW w:w="3139" w:type="dxa"/>
            <w:noWrap w:val="0"/>
            <w:vAlign w:val="center"/>
          </w:tcPr>
          <w:p>
            <w:pPr>
              <w:spacing w:after="0"/>
              <w:rPr>
                <w:rFonts w:eastAsia="Calibri"/>
              </w:rPr>
            </w:pPr>
            <w:r>
              <w:rPr>
                <w:rFonts w:eastAsia="Calibri"/>
              </w:rPr>
              <w:t>4.44ms (600km)</w:t>
            </w:r>
          </w:p>
          <w:p>
            <w:pPr>
              <w:spacing w:after="0"/>
              <w:rPr>
                <w:rFonts w:eastAsia="Calibri"/>
              </w:rPr>
            </w:pPr>
            <w:r>
              <w:rPr>
                <w:rFonts w:eastAsia="Calibri"/>
              </w:rPr>
              <w:t>6.44ms (1200km)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835" w:type="dxa"/>
            <w:noWrap w:val="0"/>
            <w:vAlign w:val="center"/>
          </w:tcPr>
          <w:p>
            <w:pPr>
              <w:spacing w:after="0"/>
              <w:rPr>
                <w:rFonts w:eastAsia="Calibri"/>
              </w:rPr>
            </w:pPr>
            <w:r>
              <w:rPr>
                <w:rFonts w:eastAsia="Calibri"/>
              </w:rPr>
              <w:t>Max differential delay within a beam</w:t>
            </w:r>
          </w:p>
        </w:tc>
        <w:tc>
          <w:tcPr>
            <w:tcW w:w="3883" w:type="dxa"/>
            <w:noWrap w:val="0"/>
            <w:vAlign w:val="center"/>
          </w:tcPr>
          <w:p>
            <w:pPr>
              <w:spacing w:after="0"/>
              <w:rPr>
                <w:rFonts w:eastAsia="Calibri"/>
              </w:rPr>
            </w:pPr>
            <w:r>
              <w:rPr>
                <w:rFonts w:eastAsia="Calibri"/>
              </w:rPr>
              <w:t>1.6 ms</w:t>
            </w:r>
          </w:p>
        </w:tc>
        <w:tc>
          <w:tcPr>
            <w:tcW w:w="3139" w:type="dxa"/>
            <w:noWrap w:val="0"/>
            <w:vAlign w:val="center"/>
          </w:tcPr>
          <w:p>
            <w:pPr>
              <w:spacing w:after="0"/>
              <w:rPr>
                <w:rFonts w:eastAsia="Calibri"/>
              </w:rPr>
            </w:pPr>
            <w:r>
              <w:rPr>
                <w:rFonts w:eastAsia="Calibri"/>
              </w:rPr>
              <w:t>0.65 ms (600km and 1200km)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835" w:type="dxa"/>
            <w:noWrap w:val="0"/>
            <w:vAlign w:val="center"/>
          </w:tcPr>
          <w:p>
            <w:pPr>
              <w:spacing w:after="0"/>
              <w:rPr>
                <w:rFonts w:eastAsia="Calibri"/>
              </w:rPr>
            </w:pPr>
            <w:r>
              <w:rPr>
                <w:rFonts w:eastAsia="Calibri"/>
              </w:rPr>
              <w:t>Max Doppler shift (earth fixed user equipment)</w:t>
            </w:r>
          </w:p>
        </w:tc>
        <w:tc>
          <w:tcPr>
            <w:tcW w:w="3883" w:type="dxa"/>
            <w:noWrap w:val="0"/>
            <w:vAlign w:val="center"/>
          </w:tcPr>
          <w:p>
            <w:pPr>
              <w:spacing w:after="0"/>
              <w:rPr>
                <w:rFonts w:eastAsia="Calibri"/>
              </w:rPr>
            </w:pPr>
            <w:r>
              <w:rPr>
                <w:rFonts w:eastAsia="Calibri"/>
              </w:rPr>
              <w:t>0.93 ppm</w:t>
            </w:r>
          </w:p>
        </w:tc>
        <w:tc>
          <w:tcPr>
            <w:tcW w:w="3139" w:type="dxa"/>
            <w:noWrap w:val="0"/>
            <w:vAlign w:val="center"/>
          </w:tcPr>
          <w:p>
            <w:pPr>
              <w:spacing w:after="0"/>
              <w:rPr>
                <w:rFonts w:eastAsia="Calibri"/>
              </w:rPr>
            </w:pPr>
            <w:r>
              <w:rPr>
                <w:rFonts w:eastAsia="Calibri"/>
              </w:rPr>
              <w:t>24 ppm (600km)</w:t>
            </w:r>
          </w:p>
          <w:p>
            <w:pPr>
              <w:spacing w:after="0"/>
              <w:rPr>
                <w:rFonts w:eastAsia="Calibri"/>
              </w:rPr>
            </w:pPr>
            <w:r>
              <w:rPr>
                <w:rFonts w:eastAsia="Calibri"/>
              </w:rPr>
              <w:t xml:space="preserve">21ppm(1200km)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835" w:type="dxa"/>
            <w:noWrap w:val="0"/>
            <w:vAlign w:val="center"/>
          </w:tcPr>
          <w:p>
            <w:pPr>
              <w:spacing w:after="0"/>
              <w:rPr>
                <w:rFonts w:eastAsia="Calibri"/>
              </w:rPr>
            </w:pPr>
            <w:r>
              <w:rPr>
                <w:rFonts w:eastAsia="Calibri"/>
              </w:rPr>
              <w:t>Max Doppler shift variation (earth fixed user equipment)</w:t>
            </w:r>
          </w:p>
        </w:tc>
        <w:tc>
          <w:tcPr>
            <w:tcW w:w="3883" w:type="dxa"/>
            <w:noWrap w:val="0"/>
            <w:vAlign w:val="center"/>
          </w:tcPr>
          <w:p>
            <w:pPr>
              <w:spacing w:after="0"/>
              <w:rPr>
                <w:rFonts w:eastAsia="Calibri"/>
              </w:rPr>
            </w:pPr>
            <w:r>
              <w:rPr>
                <w:rFonts w:eastAsia="Calibri"/>
              </w:rPr>
              <w:t xml:space="preserve">0.000 045 ppm/s </w:t>
            </w:r>
          </w:p>
        </w:tc>
        <w:tc>
          <w:tcPr>
            <w:tcW w:w="3139" w:type="dxa"/>
            <w:noWrap w:val="0"/>
            <w:vAlign w:val="center"/>
          </w:tcPr>
          <w:p>
            <w:pPr>
              <w:spacing w:after="0"/>
              <w:rPr>
                <w:rFonts w:eastAsia="Calibri"/>
              </w:rPr>
            </w:pPr>
            <w:r>
              <w:rPr>
                <w:rFonts w:eastAsia="Calibri"/>
              </w:rPr>
              <w:t>0.27ppm/s (600km)</w:t>
            </w:r>
          </w:p>
          <w:p>
            <w:pPr>
              <w:spacing w:after="0"/>
              <w:rPr>
                <w:rFonts w:eastAsia="Calibri"/>
              </w:rPr>
            </w:pPr>
            <w:r>
              <w:rPr>
                <w:rFonts w:eastAsia="Calibri"/>
              </w:rPr>
              <w:t>0.13ppm/s(1200km)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835" w:type="dxa"/>
            <w:noWrap w:val="0"/>
            <w:vAlign w:val="center"/>
          </w:tcPr>
          <w:p>
            <w:pPr>
              <w:spacing w:after="0"/>
              <w:rPr>
                <w:rFonts w:eastAsia="Calibri"/>
              </w:rPr>
            </w:pPr>
            <w:r>
              <w:rPr>
                <w:rFonts w:eastAsia="Calibri"/>
              </w:rPr>
              <w:t>User equipment motion on the earth</w:t>
            </w:r>
          </w:p>
        </w:tc>
        <w:tc>
          <w:tcPr>
            <w:tcW w:w="3883" w:type="dxa"/>
            <w:noWrap w:val="0"/>
            <w:vAlign w:val="center"/>
          </w:tcPr>
          <w:p>
            <w:pPr>
              <w:spacing w:after="0"/>
              <w:rPr>
                <w:rFonts w:eastAsia="Calibri"/>
              </w:rPr>
            </w:pPr>
            <w:r>
              <w:rPr>
                <w:rFonts w:eastAsia="Calibri"/>
              </w:rPr>
              <w:t>1000 km/h (e.g. aircraft)</w:t>
            </w:r>
          </w:p>
        </w:tc>
        <w:tc>
          <w:tcPr>
            <w:tcW w:w="3139" w:type="dxa"/>
            <w:noWrap w:val="0"/>
            <w:vAlign w:val="center"/>
          </w:tcPr>
          <w:p>
            <w:pPr>
              <w:spacing w:after="0"/>
              <w:rPr>
                <w:rFonts w:eastAsia="Calibri"/>
              </w:rPr>
            </w:pPr>
            <w:r>
              <w:rPr>
                <w:rFonts w:eastAsia="Calibri"/>
              </w:rPr>
              <w:t>500 km/h (e.g. high speed train)</w:t>
            </w:r>
          </w:p>
          <w:p>
            <w:pPr>
              <w:spacing w:after="0"/>
              <w:rPr>
                <w:rFonts w:eastAsia="Calibri"/>
              </w:rPr>
            </w:pPr>
            <w:r>
              <w:rPr>
                <w:rFonts w:eastAsia="Calibri"/>
              </w:rPr>
              <w:t>Possibly 1000 km/h (e.g. aircraft)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835" w:type="dxa"/>
            <w:noWrap w:val="0"/>
            <w:vAlign w:val="center"/>
          </w:tcPr>
          <w:p>
            <w:pPr>
              <w:spacing w:after="0"/>
              <w:rPr>
                <w:rFonts w:eastAsia="Calibri"/>
              </w:rPr>
            </w:pPr>
            <w:r>
              <w:rPr>
                <w:rFonts w:eastAsia="Calibri"/>
              </w:rPr>
              <w:t>User equipment antenna types</w:t>
            </w:r>
          </w:p>
        </w:tc>
        <w:tc>
          <w:tcPr>
            <w:tcW w:w="7022" w:type="dxa"/>
            <w:gridSpan w:val="2"/>
            <w:noWrap w:val="0"/>
            <w:vAlign w:val="center"/>
          </w:tcPr>
          <w:p>
            <w:pPr>
              <w:spacing w:after="0"/>
              <w:rPr>
                <w:rFonts w:eastAsia="Calibri"/>
              </w:rPr>
            </w:pPr>
            <w:r>
              <w:rPr>
                <w:rFonts w:eastAsia="Calibri"/>
              </w:rPr>
              <w:t>Omnidirectional antenna (linear polarisation), assuming 0 dBi</w:t>
            </w:r>
          </w:p>
          <w:p>
            <w:pPr>
              <w:spacing w:after="0"/>
              <w:rPr>
                <w:rFonts w:eastAsia="Calibri"/>
              </w:rPr>
            </w:pPr>
            <w:r>
              <w:rPr>
                <w:rFonts w:eastAsia="Calibri"/>
              </w:rPr>
              <w:t>Directive antenna (up to 60 cm equivalent aperture diameter in circular polarisation)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835" w:type="dxa"/>
            <w:noWrap w:val="0"/>
            <w:vAlign w:val="center"/>
          </w:tcPr>
          <w:p>
            <w:pPr>
              <w:spacing w:after="0"/>
              <w:rPr>
                <w:rFonts w:eastAsia="Calibri"/>
              </w:rPr>
            </w:pPr>
            <w:r>
              <w:rPr>
                <w:rFonts w:eastAsia="Calibri"/>
              </w:rPr>
              <w:t>User equipment Tx power</w:t>
            </w:r>
          </w:p>
        </w:tc>
        <w:tc>
          <w:tcPr>
            <w:tcW w:w="7022" w:type="dxa"/>
            <w:gridSpan w:val="2"/>
            <w:noWrap w:val="0"/>
            <w:vAlign w:val="center"/>
          </w:tcPr>
          <w:p>
            <w:pPr>
              <w:spacing w:after="0"/>
              <w:rPr>
                <w:rFonts w:eastAsia="Calibri"/>
              </w:rPr>
            </w:pPr>
            <w:r>
              <w:rPr>
                <w:rFonts w:eastAsia="Calibri"/>
              </w:rPr>
              <w:t>Omnidirectional antenna: UE power class 3 with up to 200 mW</w:t>
            </w:r>
          </w:p>
          <w:p>
            <w:pPr>
              <w:spacing w:after="0"/>
              <w:rPr>
                <w:rFonts w:eastAsia="Calibri"/>
              </w:rPr>
            </w:pPr>
            <w:r>
              <w:rPr>
                <w:rFonts w:eastAsia="Calibri"/>
              </w:rPr>
              <w:t>Directive antenna: up to 4 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835" w:type="dxa"/>
            <w:noWrap w:val="0"/>
            <w:vAlign w:val="center"/>
          </w:tcPr>
          <w:p>
            <w:pPr>
              <w:spacing w:after="0"/>
              <w:rPr>
                <w:rFonts w:eastAsia="Calibri"/>
              </w:rPr>
            </w:pPr>
            <w:r>
              <w:rPr>
                <w:rFonts w:eastAsia="Calibri"/>
              </w:rPr>
              <w:t>User equipment Noise figure</w:t>
            </w:r>
          </w:p>
        </w:tc>
        <w:tc>
          <w:tcPr>
            <w:tcW w:w="7022" w:type="dxa"/>
            <w:gridSpan w:val="2"/>
            <w:noWrap w:val="0"/>
            <w:vAlign w:val="center"/>
          </w:tcPr>
          <w:p>
            <w:pPr>
              <w:spacing w:after="0"/>
              <w:rPr>
                <w:rFonts w:eastAsia="Calibri"/>
              </w:rPr>
            </w:pPr>
            <w:r>
              <w:rPr>
                <w:rFonts w:eastAsia="Calibri"/>
              </w:rPr>
              <w:t>Omnidirectional antenna: 7 dB</w:t>
            </w:r>
          </w:p>
          <w:p>
            <w:pPr>
              <w:spacing w:after="0"/>
              <w:rPr>
                <w:rFonts w:eastAsia="Calibri"/>
              </w:rPr>
            </w:pPr>
            <w:r>
              <w:rPr>
                <w:rFonts w:eastAsia="Calibri"/>
              </w:rPr>
              <w:t>Directive antenna: 1.2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835" w:type="dxa"/>
            <w:noWrap w:val="0"/>
            <w:vAlign w:val="center"/>
          </w:tcPr>
          <w:p>
            <w:pPr>
              <w:spacing w:after="0"/>
              <w:rPr>
                <w:rFonts w:eastAsia="Calibri"/>
              </w:rPr>
            </w:pPr>
            <w:r>
              <w:rPr>
                <w:rFonts w:eastAsia="Calibri"/>
              </w:rPr>
              <w:t>Service link</w:t>
            </w:r>
          </w:p>
        </w:tc>
        <w:tc>
          <w:tcPr>
            <w:tcW w:w="7022" w:type="dxa"/>
            <w:gridSpan w:val="2"/>
            <w:noWrap w:val="0"/>
            <w:vAlign w:val="center"/>
          </w:tcPr>
          <w:p>
            <w:pPr>
              <w:spacing w:after="0"/>
              <w:rPr>
                <w:rFonts w:eastAsia="Calibri"/>
              </w:rPr>
            </w:pPr>
            <w:r>
              <w:rPr>
                <w:rFonts w:eastAsia="Calibri"/>
              </w:rPr>
              <w:t>3GPP defined New Radio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835" w:type="dxa"/>
            <w:noWrap w:val="0"/>
            <w:vAlign w:val="center"/>
          </w:tcPr>
          <w:p>
            <w:pPr>
              <w:spacing w:after="0"/>
              <w:rPr>
                <w:rFonts w:eastAsia="Calibri"/>
              </w:rPr>
            </w:pPr>
            <w:r>
              <w:rPr>
                <w:rFonts w:eastAsia="Calibri"/>
              </w:rPr>
              <w:t>Feeder link</w:t>
            </w:r>
          </w:p>
        </w:tc>
        <w:tc>
          <w:tcPr>
            <w:tcW w:w="3883" w:type="dxa"/>
            <w:noWrap w:val="0"/>
            <w:vAlign w:val="center"/>
          </w:tcPr>
          <w:p>
            <w:pPr>
              <w:spacing w:after="0"/>
              <w:rPr>
                <w:rFonts w:eastAsia="Calibri"/>
              </w:rPr>
            </w:pPr>
            <w:r>
              <w:rPr>
                <w:rFonts w:eastAsia="Calibri"/>
              </w:rPr>
              <w:t>3GPP or non-3GPP defined Radio interface</w:t>
            </w:r>
          </w:p>
        </w:tc>
        <w:tc>
          <w:tcPr>
            <w:tcW w:w="3139" w:type="dxa"/>
            <w:noWrap w:val="0"/>
            <w:vAlign w:val="center"/>
          </w:tcPr>
          <w:p>
            <w:pPr>
              <w:spacing w:after="0"/>
              <w:rPr>
                <w:rFonts w:eastAsia="Calibri"/>
              </w:rPr>
            </w:pPr>
            <w:r>
              <w:rPr>
                <w:rFonts w:eastAsia="Calibri"/>
              </w:rPr>
              <w:t>3GPP or non-3GPP defined Radio interface</w:t>
            </w:r>
          </w:p>
        </w:tc>
      </w:tr>
    </w:tbl>
    <w:p>
      <w:pPr>
        <w:pStyle w:val="263"/>
        <w:rPr>
          <w:rFonts w:ascii="Times New Roman" w:hAnsi="Times New Roman"/>
          <w:sz w:val="20"/>
          <w:lang w:val="en-US"/>
        </w:rPr>
      </w:pPr>
      <w:r>
        <w:rPr>
          <w:rFonts w:ascii="Times New Roman" w:hAnsi="Times New Roman"/>
          <w:sz w:val="20"/>
          <w:lang w:val="en-US"/>
        </w:rPr>
        <w:t>NOTE 1:</w:t>
      </w:r>
      <w:r>
        <w:rPr>
          <w:rFonts w:ascii="Times New Roman" w:hAnsi="Times New Roman"/>
          <w:sz w:val="20"/>
          <w:lang w:val="en-US"/>
        </w:rPr>
        <w:tab/>
      </w:r>
      <w:r>
        <w:rPr>
          <w:rFonts w:ascii="Times New Roman" w:hAnsi="Times New Roman"/>
          <w:sz w:val="20"/>
          <w:lang w:val="en-US"/>
        </w:rPr>
        <w:t>Each satellite has the capability to steer beams towards fixed points on earth using beamforming techniques. This is applicable for a period of time corresponding to the visibility time of the satellite</w:t>
      </w:r>
    </w:p>
    <w:p>
      <w:pPr>
        <w:pStyle w:val="263"/>
        <w:rPr>
          <w:rFonts w:ascii="Times New Roman" w:hAnsi="Times New Roman"/>
          <w:sz w:val="20"/>
          <w:lang w:val="en-US"/>
        </w:rPr>
      </w:pPr>
      <w:r>
        <w:rPr>
          <w:rFonts w:ascii="Times New Roman" w:hAnsi="Times New Roman"/>
          <w:sz w:val="20"/>
          <w:lang w:val="en-US"/>
        </w:rPr>
        <w:t>NOTE 2:</w:t>
      </w:r>
      <w:r>
        <w:rPr>
          <w:rFonts w:ascii="Times New Roman" w:hAnsi="Times New Roman"/>
          <w:sz w:val="20"/>
          <w:lang w:val="en-US"/>
        </w:rPr>
        <w:tab/>
      </w:r>
      <w:r>
        <w:rPr>
          <w:rFonts w:ascii="Times New Roman" w:hAnsi="Times New Roman"/>
          <w:sz w:val="20"/>
          <w:lang w:val="en-US"/>
        </w:rPr>
        <w:t>Max delay variation within a beam (earth fixed user equipment) is calculated based on Min Elevation angle for both gateway and user equipment</w:t>
      </w:r>
    </w:p>
    <w:p>
      <w:pPr>
        <w:pStyle w:val="263"/>
        <w:rPr>
          <w:rFonts w:ascii="Times New Roman" w:hAnsi="Times New Roman"/>
          <w:sz w:val="20"/>
          <w:lang w:val="en-US"/>
        </w:rPr>
      </w:pPr>
      <w:r>
        <w:rPr>
          <w:rFonts w:ascii="Times New Roman" w:hAnsi="Times New Roman"/>
          <w:sz w:val="20"/>
          <w:lang w:val="en-US"/>
        </w:rPr>
        <w:t>NOTE 3:</w:t>
      </w:r>
      <w:r>
        <w:rPr>
          <w:rFonts w:ascii="Times New Roman" w:hAnsi="Times New Roman"/>
          <w:sz w:val="20"/>
          <w:lang w:val="en-US"/>
        </w:rPr>
        <w:tab/>
      </w:r>
      <w:r>
        <w:rPr>
          <w:rFonts w:ascii="Times New Roman" w:hAnsi="Times New Roman"/>
          <w:sz w:val="20"/>
          <w:lang w:val="en-US"/>
        </w:rPr>
        <w:t>Max differential delay within a beam is calculated based on Max beam foot print diameter at nadir</w:t>
      </w:r>
    </w:p>
    <w:p>
      <w:pPr>
        <w:pStyle w:val="67"/>
        <w:numPr>
          <w:ilvl w:val="0"/>
          <w:numId w:val="0"/>
        </w:numPr>
        <w:ind w:leftChars="0"/>
        <w:rPr>
          <w:szCs w:val="22"/>
          <w:lang w:val="en-GB"/>
        </w:rPr>
      </w:pPr>
    </w:p>
    <w:p>
      <w:pPr>
        <w:pStyle w:val="67"/>
        <w:ind w:firstLine="0" w:firstLineChars="0"/>
        <w:rPr>
          <w:szCs w:val="22"/>
          <w:lang w:val="en-GB"/>
        </w:rPr>
      </w:pPr>
    </w:p>
    <w:sectPr>
      <w:headerReference r:id="rId3" w:type="default"/>
      <w:footerReference r:id="rId4" w:type="default"/>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modern"/>
    <w:pitch w:val="default"/>
    <w:sig w:usb0="E00002FF" w:usb1="6AC7FDFB" w:usb2="00000012" w:usb3="00000000" w:csb0="4002009F" w:csb1="DFD7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entury">
    <w:panose1 w:val="02040604050505020304"/>
    <w:charset w:val="00"/>
    <w:family w:val="roman"/>
    <w:pitch w:val="default"/>
    <w:sig w:usb0="00000287" w:usb1="00000000" w:usb2="00000000" w:usb3="00000000" w:csb0="2000009F" w:csb1="DFD7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jc w:val="both"/>
      <w:rPr>
        <w:rFonts w:ascii="宋体" w:hAnsi="宋体"/>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A3A905F"/>
    <w:multiLevelType w:val="multilevel"/>
    <w:tmpl w:val="EA3A905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3"/>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12319C9E"/>
    <w:multiLevelType w:val="singleLevel"/>
    <w:tmpl w:val="12319C9E"/>
    <w:lvl w:ilvl="0" w:tentative="0">
      <w:start w:val="1"/>
      <w:numFmt w:val="bullet"/>
      <w:lvlText w:val=""/>
      <w:lvlJc w:val="left"/>
      <w:pPr>
        <w:ind w:left="420" w:hanging="420"/>
      </w:pPr>
      <w:rPr>
        <w:rFonts w:hint="default" w:ascii="Wingdings" w:hAnsi="Wingdings"/>
      </w:rPr>
    </w:lvl>
  </w:abstractNum>
  <w:abstractNum w:abstractNumId="4">
    <w:nsid w:val="14EE10F8"/>
    <w:multiLevelType w:val="multilevel"/>
    <w:tmpl w:val="14EE10F8"/>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27CE44CD"/>
    <w:multiLevelType w:val="multilevel"/>
    <w:tmpl w:val="27CE44C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7B21696"/>
    <w:multiLevelType w:val="singleLevel"/>
    <w:tmpl w:val="37B21696"/>
    <w:lvl w:ilvl="0" w:tentative="0">
      <w:start w:val="1"/>
      <w:numFmt w:val="bullet"/>
      <w:lvlText w:val=""/>
      <w:lvlJc w:val="left"/>
      <w:pPr>
        <w:ind w:left="420" w:hanging="420"/>
      </w:pPr>
      <w:rPr>
        <w:rFonts w:hint="default" w:ascii="Wingdings" w:hAnsi="Wingdings"/>
      </w:rPr>
    </w:lvl>
  </w:abstractNum>
  <w:abstractNum w:abstractNumId="7">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7A4C7D98"/>
    <w:multiLevelType w:val="multilevel"/>
    <w:tmpl w:val="7A4C7D98"/>
    <w:lvl w:ilvl="0" w:tentative="0">
      <w:start w:val="0"/>
      <w:numFmt w:val="bullet"/>
      <w:lvlText w:val="-"/>
      <w:lvlJc w:val="left"/>
      <w:pPr>
        <w:ind w:left="360" w:hanging="360"/>
      </w:pPr>
      <w:rPr>
        <w:rFonts w:hint="default" w:ascii="Arial" w:hAnsi="Arial" w:eastAsia="宋体"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7"/>
  </w:num>
  <w:num w:numId="3">
    <w:abstractNumId w:val="2"/>
  </w:num>
  <w:num w:numId="4">
    <w:abstractNumId w:val="6"/>
  </w:num>
  <w:num w:numId="5">
    <w:abstractNumId w:val="3"/>
  </w:num>
  <w:num w:numId="6">
    <w:abstractNumId w:val="0"/>
  </w:num>
  <w:num w:numId="7">
    <w:abstractNumId w:val="4"/>
  </w:num>
  <w:num w:numId="8">
    <w:abstractNumId w:val="5"/>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366"/>
    <w:rsid w:val="000055B1"/>
    <w:rsid w:val="000103E7"/>
    <w:rsid w:val="00011BBE"/>
    <w:rsid w:val="00011CDF"/>
    <w:rsid w:val="00013FAD"/>
    <w:rsid w:val="000172F4"/>
    <w:rsid w:val="00017BA5"/>
    <w:rsid w:val="00021259"/>
    <w:rsid w:val="00021359"/>
    <w:rsid w:val="0002389B"/>
    <w:rsid w:val="000248FC"/>
    <w:rsid w:val="00025FF3"/>
    <w:rsid w:val="0002660A"/>
    <w:rsid w:val="00026899"/>
    <w:rsid w:val="0002698B"/>
    <w:rsid w:val="00027878"/>
    <w:rsid w:val="00035EF9"/>
    <w:rsid w:val="00037973"/>
    <w:rsid w:val="00040A63"/>
    <w:rsid w:val="0004105F"/>
    <w:rsid w:val="00042E6F"/>
    <w:rsid w:val="00043923"/>
    <w:rsid w:val="00054537"/>
    <w:rsid w:val="000563ED"/>
    <w:rsid w:val="000569AB"/>
    <w:rsid w:val="00057C9C"/>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2A27"/>
    <w:rsid w:val="00175874"/>
    <w:rsid w:val="001767E6"/>
    <w:rsid w:val="00176AC2"/>
    <w:rsid w:val="001802FB"/>
    <w:rsid w:val="001806A8"/>
    <w:rsid w:val="00180983"/>
    <w:rsid w:val="0018310D"/>
    <w:rsid w:val="00186C3C"/>
    <w:rsid w:val="00187FEF"/>
    <w:rsid w:val="00190A8D"/>
    <w:rsid w:val="001917BC"/>
    <w:rsid w:val="00194A61"/>
    <w:rsid w:val="0019547D"/>
    <w:rsid w:val="00195E1F"/>
    <w:rsid w:val="00196645"/>
    <w:rsid w:val="00197997"/>
    <w:rsid w:val="001A384E"/>
    <w:rsid w:val="001A4015"/>
    <w:rsid w:val="001A6AFD"/>
    <w:rsid w:val="001A7B0D"/>
    <w:rsid w:val="001B21A1"/>
    <w:rsid w:val="001B337C"/>
    <w:rsid w:val="001B408A"/>
    <w:rsid w:val="001B4FB5"/>
    <w:rsid w:val="001B5AE5"/>
    <w:rsid w:val="001B7027"/>
    <w:rsid w:val="001B7C67"/>
    <w:rsid w:val="001C01E4"/>
    <w:rsid w:val="001C0CED"/>
    <w:rsid w:val="001C1105"/>
    <w:rsid w:val="001C17C6"/>
    <w:rsid w:val="001C22DE"/>
    <w:rsid w:val="001C3C4C"/>
    <w:rsid w:val="001D2914"/>
    <w:rsid w:val="001D2FB0"/>
    <w:rsid w:val="001D4420"/>
    <w:rsid w:val="001D729B"/>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6DE"/>
    <w:rsid w:val="00220022"/>
    <w:rsid w:val="00223B64"/>
    <w:rsid w:val="00224379"/>
    <w:rsid w:val="00230057"/>
    <w:rsid w:val="0023029F"/>
    <w:rsid w:val="00230BCA"/>
    <w:rsid w:val="00231281"/>
    <w:rsid w:val="002314CB"/>
    <w:rsid w:val="00231DC2"/>
    <w:rsid w:val="002333B7"/>
    <w:rsid w:val="002344F2"/>
    <w:rsid w:val="002350A1"/>
    <w:rsid w:val="002368E4"/>
    <w:rsid w:val="00237BC2"/>
    <w:rsid w:val="00241832"/>
    <w:rsid w:val="00241C4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7A88"/>
    <w:rsid w:val="002B22C6"/>
    <w:rsid w:val="002B24A3"/>
    <w:rsid w:val="002B2BBC"/>
    <w:rsid w:val="002B351B"/>
    <w:rsid w:val="002B3C48"/>
    <w:rsid w:val="002B3D8F"/>
    <w:rsid w:val="002B434C"/>
    <w:rsid w:val="002B4F1D"/>
    <w:rsid w:val="002B7A5E"/>
    <w:rsid w:val="002C0864"/>
    <w:rsid w:val="002C0F12"/>
    <w:rsid w:val="002C3873"/>
    <w:rsid w:val="002C4649"/>
    <w:rsid w:val="002D00AA"/>
    <w:rsid w:val="002D044D"/>
    <w:rsid w:val="002D0F0A"/>
    <w:rsid w:val="002D35FA"/>
    <w:rsid w:val="002D3797"/>
    <w:rsid w:val="002D4A6A"/>
    <w:rsid w:val="002D6461"/>
    <w:rsid w:val="002D650F"/>
    <w:rsid w:val="002D6E18"/>
    <w:rsid w:val="002D7FBA"/>
    <w:rsid w:val="002E002E"/>
    <w:rsid w:val="002E28F9"/>
    <w:rsid w:val="002E7525"/>
    <w:rsid w:val="002F01CA"/>
    <w:rsid w:val="002F029C"/>
    <w:rsid w:val="002F0FB2"/>
    <w:rsid w:val="002F1163"/>
    <w:rsid w:val="002F3161"/>
    <w:rsid w:val="002F5517"/>
    <w:rsid w:val="003005AF"/>
    <w:rsid w:val="00305358"/>
    <w:rsid w:val="0030650B"/>
    <w:rsid w:val="00312C1A"/>
    <w:rsid w:val="00312DD1"/>
    <w:rsid w:val="00313308"/>
    <w:rsid w:val="003144CA"/>
    <w:rsid w:val="003171FD"/>
    <w:rsid w:val="00321077"/>
    <w:rsid w:val="00322EDB"/>
    <w:rsid w:val="003268BB"/>
    <w:rsid w:val="00330072"/>
    <w:rsid w:val="00330B4E"/>
    <w:rsid w:val="0033176D"/>
    <w:rsid w:val="00333D6C"/>
    <w:rsid w:val="00335B60"/>
    <w:rsid w:val="00335F69"/>
    <w:rsid w:val="00336046"/>
    <w:rsid w:val="00340AAF"/>
    <w:rsid w:val="003436BE"/>
    <w:rsid w:val="0034542E"/>
    <w:rsid w:val="00345FC0"/>
    <w:rsid w:val="003469FC"/>
    <w:rsid w:val="00347800"/>
    <w:rsid w:val="003504B5"/>
    <w:rsid w:val="0035234C"/>
    <w:rsid w:val="003546A6"/>
    <w:rsid w:val="00354915"/>
    <w:rsid w:val="00354E6F"/>
    <w:rsid w:val="003577BE"/>
    <w:rsid w:val="00362FCF"/>
    <w:rsid w:val="0036468F"/>
    <w:rsid w:val="00366993"/>
    <w:rsid w:val="00370E0A"/>
    <w:rsid w:val="00371876"/>
    <w:rsid w:val="00372C00"/>
    <w:rsid w:val="00382FAE"/>
    <w:rsid w:val="003832DC"/>
    <w:rsid w:val="0038426C"/>
    <w:rsid w:val="00384541"/>
    <w:rsid w:val="00385C87"/>
    <w:rsid w:val="00387F14"/>
    <w:rsid w:val="00391402"/>
    <w:rsid w:val="00391F87"/>
    <w:rsid w:val="00393338"/>
    <w:rsid w:val="00394979"/>
    <w:rsid w:val="00394A68"/>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3E62"/>
    <w:rsid w:val="003C54A8"/>
    <w:rsid w:val="003D01E0"/>
    <w:rsid w:val="003D0EF8"/>
    <w:rsid w:val="003D1455"/>
    <w:rsid w:val="003D2B72"/>
    <w:rsid w:val="003D42C7"/>
    <w:rsid w:val="003D7765"/>
    <w:rsid w:val="003E1518"/>
    <w:rsid w:val="003E1A5E"/>
    <w:rsid w:val="003E2DCD"/>
    <w:rsid w:val="003E3974"/>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D00"/>
    <w:rsid w:val="004A6B71"/>
    <w:rsid w:val="004B2B05"/>
    <w:rsid w:val="004B2BBA"/>
    <w:rsid w:val="004B609F"/>
    <w:rsid w:val="004B71F4"/>
    <w:rsid w:val="004B76A2"/>
    <w:rsid w:val="004B76B6"/>
    <w:rsid w:val="004C0B5E"/>
    <w:rsid w:val="004C16C3"/>
    <w:rsid w:val="004C16F8"/>
    <w:rsid w:val="004C63EE"/>
    <w:rsid w:val="004D1073"/>
    <w:rsid w:val="004D1EE6"/>
    <w:rsid w:val="004D238B"/>
    <w:rsid w:val="004D39A3"/>
    <w:rsid w:val="004D7034"/>
    <w:rsid w:val="004E06BE"/>
    <w:rsid w:val="004E3A45"/>
    <w:rsid w:val="004E3B7D"/>
    <w:rsid w:val="004E3E3E"/>
    <w:rsid w:val="004E5219"/>
    <w:rsid w:val="004E5753"/>
    <w:rsid w:val="004E68E7"/>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152"/>
    <w:rsid w:val="00525585"/>
    <w:rsid w:val="00525D1A"/>
    <w:rsid w:val="0052657B"/>
    <w:rsid w:val="00534869"/>
    <w:rsid w:val="00536465"/>
    <w:rsid w:val="005371D2"/>
    <w:rsid w:val="00537528"/>
    <w:rsid w:val="00542ED7"/>
    <w:rsid w:val="00545A76"/>
    <w:rsid w:val="00545F9C"/>
    <w:rsid w:val="005506C7"/>
    <w:rsid w:val="005514AA"/>
    <w:rsid w:val="0055689F"/>
    <w:rsid w:val="005602A0"/>
    <w:rsid w:val="00561349"/>
    <w:rsid w:val="00565363"/>
    <w:rsid w:val="005657FC"/>
    <w:rsid w:val="00567054"/>
    <w:rsid w:val="00567A9A"/>
    <w:rsid w:val="00570FEC"/>
    <w:rsid w:val="00571A8C"/>
    <w:rsid w:val="0057258B"/>
    <w:rsid w:val="00572AC4"/>
    <w:rsid w:val="0057377D"/>
    <w:rsid w:val="00575034"/>
    <w:rsid w:val="00576522"/>
    <w:rsid w:val="005842C1"/>
    <w:rsid w:val="00585E04"/>
    <w:rsid w:val="00586C7E"/>
    <w:rsid w:val="005910DD"/>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57F1"/>
    <w:rsid w:val="005D680C"/>
    <w:rsid w:val="005E06D3"/>
    <w:rsid w:val="005E27C0"/>
    <w:rsid w:val="005E3AE4"/>
    <w:rsid w:val="005E4F1C"/>
    <w:rsid w:val="005F097D"/>
    <w:rsid w:val="005F1004"/>
    <w:rsid w:val="005F1FAE"/>
    <w:rsid w:val="005F42AD"/>
    <w:rsid w:val="005F4A01"/>
    <w:rsid w:val="005F56A6"/>
    <w:rsid w:val="005F6041"/>
    <w:rsid w:val="005F7E99"/>
    <w:rsid w:val="00601081"/>
    <w:rsid w:val="006012C6"/>
    <w:rsid w:val="00603239"/>
    <w:rsid w:val="0060473D"/>
    <w:rsid w:val="006053DC"/>
    <w:rsid w:val="00607A61"/>
    <w:rsid w:val="0061011F"/>
    <w:rsid w:val="006127D4"/>
    <w:rsid w:val="00614547"/>
    <w:rsid w:val="00614D4B"/>
    <w:rsid w:val="00615732"/>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7BD"/>
    <w:rsid w:val="006408DC"/>
    <w:rsid w:val="006413AD"/>
    <w:rsid w:val="00643A7A"/>
    <w:rsid w:val="0064545A"/>
    <w:rsid w:val="006503F8"/>
    <w:rsid w:val="00650D0F"/>
    <w:rsid w:val="00651856"/>
    <w:rsid w:val="006521E7"/>
    <w:rsid w:val="00655018"/>
    <w:rsid w:val="0065579F"/>
    <w:rsid w:val="006602B5"/>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45D1"/>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A053E"/>
    <w:rsid w:val="007A2A69"/>
    <w:rsid w:val="007A6821"/>
    <w:rsid w:val="007B055F"/>
    <w:rsid w:val="007B0BAC"/>
    <w:rsid w:val="007B1B67"/>
    <w:rsid w:val="007B3EE9"/>
    <w:rsid w:val="007B4B41"/>
    <w:rsid w:val="007B6028"/>
    <w:rsid w:val="007C0BA7"/>
    <w:rsid w:val="007C2A0A"/>
    <w:rsid w:val="007C33E4"/>
    <w:rsid w:val="007C41B3"/>
    <w:rsid w:val="007C44F4"/>
    <w:rsid w:val="007D2587"/>
    <w:rsid w:val="007D36F2"/>
    <w:rsid w:val="007D5A25"/>
    <w:rsid w:val="007E0F24"/>
    <w:rsid w:val="007E17B1"/>
    <w:rsid w:val="007E27C0"/>
    <w:rsid w:val="007E4716"/>
    <w:rsid w:val="007E6E32"/>
    <w:rsid w:val="007E771D"/>
    <w:rsid w:val="007F3C31"/>
    <w:rsid w:val="007F3DA7"/>
    <w:rsid w:val="007F4203"/>
    <w:rsid w:val="007F502E"/>
    <w:rsid w:val="007F65F6"/>
    <w:rsid w:val="007F6A42"/>
    <w:rsid w:val="008013CA"/>
    <w:rsid w:val="00804AEB"/>
    <w:rsid w:val="008056CF"/>
    <w:rsid w:val="00806C7C"/>
    <w:rsid w:val="00806C9F"/>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0D51"/>
    <w:rsid w:val="00851A3E"/>
    <w:rsid w:val="00852259"/>
    <w:rsid w:val="00853419"/>
    <w:rsid w:val="00855CBD"/>
    <w:rsid w:val="00856F99"/>
    <w:rsid w:val="00860FE6"/>
    <w:rsid w:val="00864678"/>
    <w:rsid w:val="00864D17"/>
    <w:rsid w:val="008719DB"/>
    <w:rsid w:val="00872250"/>
    <w:rsid w:val="008731B8"/>
    <w:rsid w:val="00873D16"/>
    <w:rsid w:val="00876842"/>
    <w:rsid w:val="008775A0"/>
    <w:rsid w:val="00880F6C"/>
    <w:rsid w:val="0088391A"/>
    <w:rsid w:val="00884241"/>
    <w:rsid w:val="008855E2"/>
    <w:rsid w:val="00886521"/>
    <w:rsid w:val="008937A3"/>
    <w:rsid w:val="0089509A"/>
    <w:rsid w:val="008A4FE1"/>
    <w:rsid w:val="008A5E28"/>
    <w:rsid w:val="008A6A82"/>
    <w:rsid w:val="008B4198"/>
    <w:rsid w:val="008B4609"/>
    <w:rsid w:val="008B56E7"/>
    <w:rsid w:val="008B725C"/>
    <w:rsid w:val="008C051E"/>
    <w:rsid w:val="008C1D6D"/>
    <w:rsid w:val="008C3F98"/>
    <w:rsid w:val="008D1DAC"/>
    <w:rsid w:val="008D23AF"/>
    <w:rsid w:val="008D3A05"/>
    <w:rsid w:val="008D41FD"/>
    <w:rsid w:val="008D5D5E"/>
    <w:rsid w:val="008D681A"/>
    <w:rsid w:val="008D6B1A"/>
    <w:rsid w:val="008D6D38"/>
    <w:rsid w:val="008E0617"/>
    <w:rsid w:val="008E5B71"/>
    <w:rsid w:val="008E705E"/>
    <w:rsid w:val="008F0880"/>
    <w:rsid w:val="008F1092"/>
    <w:rsid w:val="008F2453"/>
    <w:rsid w:val="008F34E9"/>
    <w:rsid w:val="008F5CD0"/>
    <w:rsid w:val="008F671D"/>
    <w:rsid w:val="008F694E"/>
    <w:rsid w:val="00901267"/>
    <w:rsid w:val="00902701"/>
    <w:rsid w:val="00902833"/>
    <w:rsid w:val="009039E2"/>
    <w:rsid w:val="009063B9"/>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167"/>
    <w:rsid w:val="00954F42"/>
    <w:rsid w:val="009568D2"/>
    <w:rsid w:val="00957172"/>
    <w:rsid w:val="009578D1"/>
    <w:rsid w:val="00957A33"/>
    <w:rsid w:val="0096003B"/>
    <w:rsid w:val="0096081E"/>
    <w:rsid w:val="0096137E"/>
    <w:rsid w:val="0096187A"/>
    <w:rsid w:val="00961E92"/>
    <w:rsid w:val="009647C5"/>
    <w:rsid w:val="0096604F"/>
    <w:rsid w:val="00966280"/>
    <w:rsid w:val="009663C5"/>
    <w:rsid w:val="00970F89"/>
    <w:rsid w:val="00971DDC"/>
    <w:rsid w:val="009755AD"/>
    <w:rsid w:val="009757E0"/>
    <w:rsid w:val="0097619E"/>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6979"/>
    <w:rsid w:val="009A7282"/>
    <w:rsid w:val="009B155B"/>
    <w:rsid w:val="009B183F"/>
    <w:rsid w:val="009B1F5B"/>
    <w:rsid w:val="009B3DB8"/>
    <w:rsid w:val="009B4769"/>
    <w:rsid w:val="009C2086"/>
    <w:rsid w:val="009C3006"/>
    <w:rsid w:val="009D159F"/>
    <w:rsid w:val="009D2A16"/>
    <w:rsid w:val="009D6952"/>
    <w:rsid w:val="009E068F"/>
    <w:rsid w:val="009E1B89"/>
    <w:rsid w:val="009E619C"/>
    <w:rsid w:val="009E7020"/>
    <w:rsid w:val="009E7045"/>
    <w:rsid w:val="009E748B"/>
    <w:rsid w:val="009F2244"/>
    <w:rsid w:val="009F2B92"/>
    <w:rsid w:val="009F3D12"/>
    <w:rsid w:val="009F4ECE"/>
    <w:rsid w:val="00A00C20"/>
    <w:rsid w:val="00A01159"/>
    <w:rsid w:val="00A035AF"/>
    <w:rsid w:val="00A03B8C"/>
    <w:rsid w:val="00A03D3F"/>
    <w:rsid w:val="00A04BEB"/>
    <w:rsid w:val="00A04DE2"/>
    <w:rsid w:val="00A0577F"/>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16E4"/>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1DEB"/>
    <w:rsid w:val="00AD2407"/>
    <w:rsid w:val="00AD62D8"/>
    <w:rsid w:val="00AD6CF3"/>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23604"/>
    <w:rsid w:val="00B2566A"/>
    <w:rsid w:val="00B34561"/>
    <w:rsid w:val="00B41694"/>
    <w:rsid w:val="00B41E8C"/>
    <w:rsid w:val="00B425D5"/>
    <w:rsid w:val="00B427B9"/>
    <w:rsid w:val="00B43371"/>
    <w:rsid w:val="00B4458B"/>
    <w:rsid w:val="00B44CA2"/>
    <w:rsid w:val="00B454AE"/>
    <w:rsid w:val="00B5038B"/>
    <w:rsid w:val="00B52464"/>
    <w:rsid w:val="00B53B69"/>
    <w:rsid w:val="00B55CF3"/>
    <w:rsid w:val="00B6461C"/>
    <w:rsid w:val="00B670CE"/>
    <w:rsid w:val="00B67B79"/>
    <w:rsid w:val="00B67E74"/>
    <w:rsid w:val="00B7195D"/>
    <w:rsid w:val="00B82234"/>
    <w:rsid w:val="00B8283E"/>
    <w:rsid w:val="00B837AA"/>
    <w:rsid w:val="00B85E5A"/>
    <w:rsid w:val="00B87D03"/>
    <w:rsid w:val="00B909E8"/>
    <w:rsid w:val="00B91E65"/>
    <w:rsid w:val="00B928EE"/>
    <w:rsid w:val="00B92AD5"/>
    <w:rsid w:val="00B94BA4"/>
    <w:rsid w:val="00B97DB5"/>
    <w:rsid w:val="00BA11AD"/>
    <w:rsid w:val="00BA2E0A"/>
    <w:rsid w:val="00BA69FF"/>
    <w:rsid w:val="00BB156E"/>
    <w:rsid w:val="00BB1EFD"/>
    <w:rsid w:val="00BB3ABA"/>
    <w:rsid w:val="00BB4FEC"/>
    <w:rsid w:val="00BB65B1"/>
    <w:rsid w:val="00BB69D5"/>
    <w:rsid w:val="00BC03E1"/>
    <w:rsid w:val="00BC3ADF"/>
    <w:rsid w:val="00BC4593"/>
    <w:rsid w:val="00BC7413"/>
    <w:rsid w:val="00BD05BF"/>
    <w:rsid w:val="00BD0646"/>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3622"/>
    <w:rsid w:val="00C54982"/>
    <w:rsid w:val="00C54B46"/>
    <w:rsid w:val="00C55B71"/>
    <w:rsid w:val="00C56DC0"/>
    <w:rsid w:val="00C621A1"/>
    <w:rsid w:val="00C63153"/>
    <w:rsid w:val="00C63CB8"/>
    <w:rsid w:val="00C65327"/>
    <w:rsid w:val="00C67382"/>
    <w:rsid w:val="00C72471"/>
    <w:rsid w:val="00C8086B"/>
    <w:rsid w:val="00C80B6E"/>
    <w:rsid w:val="00C82D97"/>
    <w:rsid w:val="00C84D14"/>
    <w:rsid w:val="00C86541"/>
    <w:rsid w:val="00C9369C"/>
    <w:rsid w:val="00C93EDD"/>
    <w:rsid w:val="00C953EF"/>
    <w:rsid w:val="00C953F6"/>
    <w:rsid w:val="00C96A23"/>
    <w:rsid w:val="00C96C00"/>
    <w:rsid w:val="00CA0363"/>
    <w:rsid w:val="00CA06A4"/>
    <w:rsid w:val="00CA127C"/>
    <w:rsid w:val="00CA501F"/>
    <w:rsid w:val="00CA59FA"/>
    <w:rsid w:val="00CA61CF"/>
    <w:rsid w:val="00CB1749"/>
    <w:rsid w:val="00CB3A9F"/>
    <w:rsid w:val="00CB5048"/>
    <w:rsid w:val="00CC10DA"/>
    <w:rsid w:val="00CC17CA"/>
    <w:rsid w:val="00CC43B7"/>
    <w:rsid w:val="00CC46C5"/>
    <w:rsid w:val="00CD229F"/>
    <w:rsid w:val="00CD6992"/>
    <w:rsid w:val="00CE13DD"/>
    <w:rsid w:val="00CE2D1F"/>
    <w:rsid w:val="00CE52F0"/>
    <w:rsid w:val="00CF18A3"/>
    <w:rsid w:val="00CF1DDB"/>
    <w:rsid w:val="00CF356A"/>
    <w:rsid w:val="00CF4A61"/>
    <w:rsid w:val="00CF7BAA"/>
    <w:rsid w:val="00D029CB"/>
    <w:rsid w:val="00D04274"/>
    <w:rsid w:val="00D05A8B"/>
    <w:rsid w:val="00D05E75"/>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2DFD"/>
    <w:rsid w:val="00D45E14"/>
    <w:rsid w:val="00D4755C"/>
    <w:rsid w:val="00D52834"/>
    <w:rsid w:val="00D53DA7"/>
    <w:rsid w:val="00D544FE"/>
    <w:rsid w:val="00D5596F"/>
    <w:rsid w:val="00D56F3F"/>
    <w:rsid w:val="00D576EB"/>
    <w:rsid w:val="00D61F13"/>
    <w:rsid w:val="00D672D6"/>
    <w:rsid w:val="00D67D4A"/>
    <w:rsid w:val="00D70B9D"/>
    <w:rsid w:val="00D72B46"/>
    <w:rsid w:val="00D75D2E"/>
    <w:rsid w:val="00D806A3"/>
    <w:rsid w:val="00D81AF8"/>
    <w:rsid w:val="00D81BAC"/>
    <w:rsid w:val="00D83149"/>
    <w:rsid w:val="00D83173"/>
    <w:rsid w:val="00D8380A"/>
    <w:rsid w:val="00D85273"/>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FAF"/>
    <w:rsid w:val="00DD02BA"/>
    <w:rsid w:val="00DD0D3E"/>
    <w:rsid w:val="00DD100B"/>
    <w:rsid w:val="00DD42F9"/>
    <w:rsid w:val="00DD6E72"/>
    <w:rsid w:val="00DE1B4A"/>
    <w:rsid w:val="00DE2CFF"/>
    <w:rsid w:val="00DE3330"/>
    <w:rsid w:val="00DE5939"/>
    <w:rsid w:val="00DF44C8"/>
    <w:rsid w:val="00DF4CBC"/>
    <w:rsid w:val="00DF5370"/>
    <w:rsid w:val="00DF5561"/>
    <w:rsid w:val="00E0032E"/>
    <w:rsid w:val="00E0205D"/>
    <w:rsid w:val="00E02703"/>
    <w:rsid w:val="00E1018A"/>
    <w:rsid w:val="00E120F4"/>
    <w:rsid w:val="00E153F6"/>
    <w:rsid w:val="00E15F7E"/>
    <w:rsid w:val="00E173DF"/>
    <w:rsid w:val="00E20BED"/>
    <w:rsid w:val="00E231A7"/>
    <w:rsid w:val="00E27FC2"/>
    <w:rsid w:val="00E30787"/>
    <w:rsid w:val="00E31912"/>
    <w:rsid w:val="00E31B60"/>
    <w:rsid w:val="00E34D88"/>
    <w:rsid w:val="00E353DB"/>
    <w:rsid w:val="00E36375"/>
    <w:rsid w:val="00E40D48"/>
    <w:rsid w:val="00E40DBF"/>
    <w:rsid w:val="00E42C98"/>
    <w:rsid w:val="00E43798"/>
    <w:rsid w:val="00E43842"/>
    <w:rsid w:val="00E468CA"/>
    <w:rsid w:val="00E521EE"/>
    <w:rsid w:val="00E52C0C"/>
    <w:rsid w:val="00E62B3D"/>
    <w:rsid w:val="00E6315A"/>
    <w:rsid w:val="00E65E86"/>
    <w:rsid w:val="00E71B00"/>
    <w:rsid w:val="00E73C7F"/>
    <w:rsid w:val="00E73F72"/>
    <w:rsid w:val="00E740D9"/>
    <w:rsid w:val="00E8224F"/>
    <w:rsid w:val="00E853FB"/>
    <w:rsid w:val="00E85E3C"/>
    <w:rsid w:val="00E91209"/>
    <w:rsid w:val="00E913C0"/>
    <w:rsid w:val="00E943EE"/>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6256"/>
    <w:rsid w:val="00EC7D8F"/>
    <w:rsid w:val="00EC7E1A"/>
    <w:rsid w:val="00ED09F7"/>
    <w:rsid w:val="00ED0F55"/>
    <w:rsid w:val="00ED19A4"/>
    <w:rsid w:val="00ED2560"/>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14EA1"/>
    <w:rsid w:val="00F21742"/>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236F"/>
    <w:rsid w:val="00F52C7A"/>
    <w:rsid w:val="00F544AB"/>
    <w:rsid w:val="00F54933"/>
    <w:rsid w:val="00F5653F"/>
    <w:rsid w:val="00F56A1B"/>
    <w:rsid w:val="00F577D9"/>
    <w:rsid w:val="00F579D8"/>
    <w:rsid w:val="00F6079F"/>
    <w:rsid w:val="00F64EA5"/>
    <w:rsid w:val="00F66A3D"/>
    <w:rsid w:val="00F66DF3"/>
    <w:rsid w:val="00F67618"/>
    <w:rsid w:val="00F67AB2"/>
    <w:rsid w:val="00F73D21"/>
    <w:rsid w:val="00F74ED0"/>
    <w:rsid w:val="00F75B44"/>
    <w:rsid w:val="00F82B72"/>
    <w:rsid w:val="00F83593"/>
    <w:rsid w:val="00F837F7"/>
    <w:rsid w:val="00F90E30"/>
    <w:rsid w:val="00F917E4"/>
    <w:rsid w:val="00F91B00"/>
    <w:rsid w:val="00F9424D"/>
    <w:rsid w:val="00F943E7"/>
    <w:rsid w:val="00F94DFC"/>
    <w:rsid w:val="00F96BAD"/>
    <w:rsid w:val="00FA34B5"/>
    <w:rsid w:val="00FB0158"/>
    <w:rsid w:val="00FB10E4"/>
    <w:rsid w:val="00FB16BC"/>
    <w:rsid w:val="00FB25A0"/>
    <w:rsid w:val="00FB2D7C"/>
    <w:rsid w:val="00FB4258"/>
    <w:rsid w:val="00FB4F37"/>
    <w:rsid w:val="00FB79F1"/>
    <w:rsid w:val="00FB7E5A"/>
    <w:rsid w:val="00FC0927"/>
    <w:rsid w:val="00FC14E6"/>
    <w:rsid w:val="00FC6E54"/>
    <w:rsid w:val="00FD33A2"/>
    <w:rsid w:val="00FD3E74"/>
    <w:rsid w:val="00FD6206"/>
    <w:rsid w:val="00FE09E7"/>
    <w:rsid w:val="00FE2161"/>
    <w:rsid w:val="00FE58B6"/>
    <w:rsid w:val="00FE7430"/>
    <w:rsid w:val="00FF0471"/>
    <w:rsid w:val="00FF0AAD"/>
    <w:rsid w:val="00FF29CE"/>
    <w:rsid w:val="00FF2E7C"/>
    <w:rsid w:val="00FF2EAF"/>
    <w:rsid w:val="00FF33F4"/>
    <w:rsid w:val="01053A6F"/>
    <w:rsid w:val="01060B16"/>
    <w:rsid w:val="01142F93"/>
    <w:rsid w:val="01164030"/>
    <w:rsid w:val="011835D0"/>
    <w:rsid w:val="011B7B2E"/>
    <w:rsid w:val="01220F86"/>
    <w:rsid w:val="01276E18"/>
    <w:rsid w:val="012B6602"/>
    <w:rsid w:val="012D5FD4"/>
    <w:rsid w:val="013B116A"/>
    <w:rsid w:val="014000E8"/>
    <w:rsid w:val="01422D32"/>
    <w:rsid w:val="0143757B"/>
    <w:rsid w:val="014D3AA5"/>
    <w:rsid w:val="014D7041"/>
    <w:rsid w:val="015159EC"/>
    <w:rsid w:val="017076A2"/>
    <w:rsid w:val="01767489"/>
    <w:rsid w:val="017A3700"/>
    <w:rsid w:val="017D0BB3"/>
    <w:rsid w:val="018B595E"/>
    <w:rsid w:val="01913CCA"/>
    <w:rsid w:val="01982856"/>
    <w:rsid w:val="019850FC"/>
    <w:rsid w:val="019F304C"/>
    <w:rsid w:val="01AE3B73"/>
    <w:rsid w:val="01B9760B"/>
    <w:rsid w:val="01C55FDA"/>
    <w:rsid w:val="01CD5977"/>
    <w:rsid w:val="01D90008"/>
    <w:rsid w:val="01E213D7"/>
    <w:rsid w:val="01F47F7B"/>
    <w:rsid w:val="020154C7"/>
    <w:rsid w:val="02020DFC"/>
    <w:rsid w:val="0203038F"/>
    <w:rsid w:val="0224054F"/>
    <w:rsid w:val="02295542"/>
    <w:rsid w:val="022C28DB"/>
    <w:rsid w:val="023933DA"/>
    <w:rsid w:val="0239697F"/>
    <w:rsid w:val="02403291"/>
    <w:rsid w:val="024C3B65"/>
    <w:rsid w:val="024C50F6"/>
    <w:rsid w:val="02574EE1"/>
    <w:rsid w:val="026318FE"/>
    <w:rsid w:val="026F629B"/>
    <w:rsid w:val="02817857"/>
    <w:rsid w:val="028A67A0"/>
    <w:rsid w:val="028D1CC5"/>
    <w:rsid w:val="029B606A"/>
    <w:rsid w:val="029F5EEC"/>
    <w:rsid w:val="02A404F8"/>
    <w:rsid w:val="02AC4064"/>
    <w:rsid w:val="02AD0B1F"/>
    <w:rsid w:val="02AF35E7"/>
    <w:rsid w:val="02B4584F"/>
    <w:rsid w:val="02B775B3"/>
    <w:rsid w:val="02C62E55"/>
    <w:rsid w:val="02F449B3"/>
    <w:rsid w:val="02FE73A8"/>
    <w:rsid w:val="030A1A7D"/>
    <w:rsid w:val="030C3441"/>
    <w:rsid w:val="030D10A2"/>
    <w:rsid w:val="03173A35"/>
    <w:rsid w:val="03202434"/>
    <w:rsid w:val="033763DC"/>
    <w:rsid w:val="036055D1"/>
    <w:rsid w:val="03846498"/>
    <w:rsid w:val="03B07E84"/>
    <w:rsid w:val="03EB6E94"/>
    <w:rsid w:val="04067142"/>
    <w:rsid w:val="04203B05"/>
    <w:rsid w:val="044150C2"/>
    <w:rsid w:val="04452E11"/>
    <w:rsid w:val="044C1A52"/>
    <w:rsid w:val="04572460"/>
    <w:rsid w:val="04752D2B"/>
    <w:rsid w:val="048F4087"/>
    <w:rsid w:val="04921429"/>
    <w:rsid w:val="049D5316"/>
    <w:rsid w:val="04A3129D"/>
    <w:rsid w:val="04CD3143"/>
    <w:rsid w:val="04D36CCF"/>
    <w:rsid w:val="04DF5B3A"/>
    <w:rsid w:val="04E21495"/>
    <w:rsid w:val="04F56171"/>
    <w:rsid w:val="05002E1C"/>
    <w:rsid w:val="050C31AF"/>
    <w:rsid w:val="050F0B0A"/>
    <w:rsid w:val="050F763E"/>
    <w:rsid w:val="05127D1F"/>
    <w:rsid w:val="05174168"/>
    <w:rsid w:val="05176A71"/>
    <w:rsid w:val="05183286"/>
    <w:rsid w:val="05272BBE"/>
    <w:rsid w:val="053674E0"/>
    <w:rsid w:val="053C6111"/>
    <w:rsid w:val="05413D92"/>
    <w:rsid w:val="0544139C"/>
    <w:rsid w:val="054D32F7"/>
    <w:rsid w:val="055106CC"/>
    <w:rsid w:val="05554F24"/>
    <w:rsid w:val="05566646"/>
    <w:rsid w:val="05692AD6"/>
    <w:rsid w:val="056A031B"/>
    <w:rsid w:val="056D39BD"/>
    <w:rsid w:val="05706812"/>
    <w:rsid w:val="05765DA0"/>
    <w:rsid w:val="05A83FE4"/>
    <w:rsid w:val="05C84427"/>
    <w:rsid w:val="05CE6506"/>
    <w:rsid w:val="05CF5923"/>
    <w:rsid w:val="05D1713F"/>
    <w:rsid w:val="05E87ECC"/>
    <w:rsid w:val="05EA3D69"/>
    <w:rsid w:val="05F13BE9"/>
    <w:rsid w:val="06076CC8"/>
    <w:rsid w:val="06136726"/>
    <w:rsid w:val="062E6977"/>
    <w:rsid w:val="06402A8B"/>
    <w:rsid w:val="06406186"/>
    <w:rsid w:val="064974AB"/>
    <w:rsid w:val="06515865"/>
    <w:rsid w:val="06531846"/>
    <w:rsid w:val="065A2B11"/>
    <w:rsid w:val="065A7F0C"/>
    <w:rsid w:val="066B2772"/>
    <w:rsid w:val="066E09E0"/>
    <w:rsid w:val="066E7630"/>
    <w:rsid w:val="0679150B"/>
    <w:rsid w:val="06801D8F"/>
    <w:rsid w:val="06AC02F9"/>
    <w:rsid w:val="06B968B0"/>
    <w:rsid w:val="06C10315"/>
    <w:rsid w:val="06D27ABC"/>
    <w:rsid w:val="06D63093"/>
    <w:rsid w:val="06DA1F04"/>
    <w:rsid w:val="06FA3DD4"/>
    <w:rsid w:val="07027A95"/>
    <w:rsid w:val="0706413A"/>
    <w:rsid w:val="07096627"/>
    <w:rsid w:val="07096958"/>
    <w:rsid w:val="070A7F50"/>
    <w:rsid w:val="07183FB0"/>
    <w:rsid w:val="0719400C"/>
    <w:rsid w:val="072047AB"/>
    <w:rsid w:val="07226FD6"/>
    <w:rsid w:val="07246DDE"/>
    <w:rsid w:val="0729086D"/>
    <w:rsid w:val="072C024A"/>
    <w:rsid w:val="07301674"/>
    <w:rsid w:val="073239FB"/>
    <w:rsid w:val="07324875"/>
    <w:rsid w:val="07387A0E"/>
    <w:rsid w:val="075E6883"/>
    <w:rsid w:val="0779455A"/>
    <w:rsid w:val="07923814"/>
    <w:rsid w:val="07A47C1C"/>
    <w:rsid w:val="07A65C26"/>
    <w:rsid w:val="07AA25BB"/>
    <w:rsid w:val="07B47F2F"/>
    <w:rsid w:val="07BB441A"/>
    <w:rsid w:val="07BE2890"/>
    <w:rsid w:val="07C4242C"/>
    <w:rsid w:val="07C84D70"/>
    <w:rsid w:val="07F209D6"/>
    <w:rsid w:val="080106BC"/>
    <w:rsid w:val="08067173"/>
    <w:rsid w:val="080F633D"/>
    <w:rsid w:val="08110428"/>
    <w:rsid w:val="0813138F"/>
    <w:rsid w:val="0815408F"/>
    <w:rsid w:val="08186B81"/>
    <w:rsid w:val="08210598"/>
    <w:rsid w:val="08217470"/>
    <w:rsid w:val="08310456"/>
    <w:rsid w:val="083E0146"/>
    <w:rsid w:val="08505A22"/>
    <w:rsid w:val="08555E5D"/>
    <w:rsid w:val="08690BF0"/>
    <w:rsid w:val="08835BA1"/>
    <w:rsid w:val="0890128D"/>
    <w:rsid w:val="0891628E"/>
    <w:rsid w:val="089D4E3B"/>
    <w:rsid w:val="089D7385"/>
    <w:rsid w:val="089E6C62"/>
    <w:rsid w:val="089F35A4"/>
    <w:rsid w:val="08A32251"/>
    <w:rsid w:val="08B525DB"/>
    <w:rsid w:val="08E33A5D"/>
    <w:rsid w:val="08E415D0"/>
    <w:rsid w:val="08EE2138"/>
    <w:rsid w:val="08F54145"/>
    <w:rsid w:val="08FB10BA"/>
    <w:rsid w:val="09115D3A"/>
    <w:rsid w:val="0924409B"/>
    <w:rsid w:val="09277723"/>
    <w:rsid w:val="093572DD"/>
    <w:rsid w:val="094855CE"/>
    <w:rsid w:val="0952269F"/>
    <w:rsid w:val="097C1512"/>
    <w:rsid w:val="098246C4"/>
    <w:rsid w:val="09877075"/>
    <w:rsid w:val="09A74F09"/>
    <w:rsid w:val="09C1228B"/>
    <w:rsid w:val="09C840B0"/>
    <w:rsid w:val="09D1363B"/>
    <w:rsid w:val="09DA6861"/>
    <w:rsid w:val="09DC2A55"/>
    <w:rsid w:val="09ED2DB7"/>
    <w:rsid w:val="09F16CD5"/>
    <w:rsid w:val="09F424EB"/>
    <w:rsid w:val="09F546E9"/>
    <w:rsid w:val="09FF1520"/>
    <w:rsid w:val="0A121077"/>
    <w:rsid w:val="0A145369"/>
    <w:rsid w:val="0A242EC7"/>
    <w:rsid w:val="0A3F3ADD"/>
    <w:rsid w:val="0A3F7CDC"/>
    <w:rsid w:val="0A4C66F5"/>
    <w:rsid w:val="0A520523"/>
    <w:rsid w:val="0A58657E"/>
    <w:rsid w:val="0A5E4C0D"/>
    <w:rsid w:val="0A626858"/>
    <w:rsid w:val="0A7C7031"/>
    <w:rsid w:val="0A976F35"/>
    <w:rsid w:val="0A9C4945"/>
    <w:rsid w:val="0AA97A6D"/>
    <w:rsid w:val="0AAA0437"/>
    <w:rsid w:val="0AAE3C34"/>
    <w:rsid w:val="0AB454F7"/>
    <w:rsid w:val="0ABA6D6F"/>
    <w:rsid w:val="0ACF2E95"/>
    <w:rsid w:val="0AD176BB"/>
    <w:rsid w:val="0ADB2792"/>
    <w:rsid w:val="0ADC0C00"/>
    <w:rsid w:val="0ADC5745"/>
    <w:rsid w:val="0AE118B2"/>
    <w:rsid w:val="0AEA160E"/>
    <w:rsid w:val="0AEB78A3"/>
    <w:rsid w:val="0AF957A7"/>
    <w:rsid w:val="0AFA6E82"/>
    <w:rsid w:val="0AFD59B0"/>
    <w:rsid w:val="0AFF1C5D"/>
    <w:rsid w:val="0B1537E9"/>
    <w:rsid w:val="0B2575EF"/>
    <w:rsid w:val="0B2D55C6"/>
    <w:rsid w:val="0B300A0B"/>
    <w:rsid w:val="0B313160"/>
    <w:rsid w:val="0B3A1D48"/>
    <w:rsid w:val="0B3A6177"/>
    <w:rsid w:val="0B474A25"/>
    <w:rsid w:val="0B6625DE"/>
    <w:rsid w:val="0B7A0C11"/>
    <w:rsid w:val="0B7F323C"/>
    <w:rsid w:val="0B896D6F"/>
    <w:rsid w:val="0B8C0B1D"/>
    <w:rsid w:val="0B8E01B3"/>
    <w:rsid w:val="0B98131B"/>
    <w:rsid w:val="0B9C2DCB"/>
    <w:rsid w:val="0BBF24CF"/>
    <w:rsid w:val="0BCA2FB1"/>
    <w:rsid w:val="0BD634CF"/>
    <w:rsid w:val="0BDE36D9"/>
    <w:rsid w:val="0BE93108"/>
    <w:rsid w:val="0BF04DBB"/>
    <w:rsid w:val="0BF118B2"/>
    <w:rsid w:val="0C150296"/>
    <w:rsid w:val="0C1E225B"/>
    <w:rsid w:val="0C3B5E7F"/>
    <w:rsid w:val="0C3E35A2"/>
    <w:rsid w:val="0C7350C6"/>
    <w:rsid w:val="0C840A7E"/>
    <w:rsid w:val="0C9874A4"/>
    <w:rsid w:val="0CA00818"/>
    <w:rsid w:val="0CAC5D93"/>
    <w:rsid w:val="0CB02557"/>
    <w:rsid w:val="0CCA3FFD"/>
    <w:rsid w:val="0CD00B5C"/>
    <w:rsid w:val="0CF868FE"/>
    <w:rsid w:val="0CFD74C3"/>
    <w:rsid w:val="0D02493D"/>
    <w:rsid w:val="0D0D08C3"/>
    <w:rsid w:val="0D0D29B9"/>
    <w:rsid w:val="0D4E3642"/>
    <w:rsid w:val="0D564CF8"/>
    <w:rsid w:val="0D6D4C97"/>
    <w:rsid w:val="0D6D666D"/>
    <w:rsid w:val="0D7D5373"/>
    <w:rsid w:val="0D9421CE"/>
    <w:rsid w:val="0D9E14AE"/>
    <w:rsid w:val="0D9F5D85"/>
    <w:rsid w:val="0DCF5E5F"/>
    <w:rsid w:val="0DD575F2"/>
    <w:rsid w:val="0DD74C1A"/>
    <w:rsid w:val="0DE03C6B"/>
    <w:rsid w:val="0DE658C5"/>
    <w:rsid w:val="0DE7427C"/>
    <w:rsid w:val="0DEC79F6"/>
    <w:rsid w:val="0DF02A80"/>
    <w:rsid w:val="0DFA2327"/>
    <w:rsid w:val="0E0D56B2"/>
    <w:rsid w:val="0E0F1D72"/>
    <w:rsid w:val="0E0F1E19"/>
    <w:rsid w:val="0E1B3A75"/>
    <w:rsid w:val="0E28192B"/>
    <w:rsid w:val="0E29672C"/>
    <w:rsid w:val="0E3B3201"/>
    <w:rsid w:val="0E4932A7"/>
    <w:rsid w:val="0E4941AD"/>
    <w:rsid w:val="0E5C3E67"/>
    <w:rsid w:val="0E680384"/>
    <w:rsid w:val="0E6E26ED"/>
    <w:rsid w:val="0E6F6BE9"/>
    <w:rsid w:val="0E734B25"/>
    <w:rsid w:val="0E836D25"/>
    <w:rsid w:val="0E8A09AC"/>
    <w:rsid w:val="0E8D03D6"/>
    <w:rsid w:val="0E930DC4"/>
    <w:rsid w:val="0E9721D9"/>
    <w:rsid w:val="0EA210F9"/>
    <w:rsid w:val="0EBB0693"/>
    <w:rsid w:val="0EC54718"/>
    <w:rsid w:val="0EC63785"/>
    <w:rsid w:val="0ED02050"/>
    <w:rsid w:val="0ED45D42"/>
    <w:rsid w:val="0ED930AB"/>
    <w:rsid w:val="0EEB4923"/>
    <w:rsid w:val="0EF05D44"/>
    <w:rsid w:val="0EF82D23"/>
    <w:rsid w:val="0F085EF8"/>
    <w:rsid w:val="0F095DD2"/>
    <w:rsid w:val="0F160DF9"/>
    <w:rsid w:val="0F1664E4"/>
    <w:rsid w:val="0F2532AC"/>
    <w:rsid w:val="0F297350"/>
    <w:rsid w:val="0F332D96"/>
    <w:rsid w:val="0F35375E"/>
    <w:rsid w:val="0F3D762A"/>
    <w:rsid w:val="0F3E78F5"/>
    <w:rsid w:val="0F3F5327"/>
    <w:rsid w:val="0F4701C2"/>
    <w:rsid w:val="0F510834"/>
    <w:rsid w:val="0F5909F2"/>
    <w:rsid w:val="0F596B88"/>
    <w:rsid w:val="0F615893"/>
    <w:rsid w:val="0F6434D8"/>
    <w:rsid w:val="0F696343"/>
    <w:rsid w:val="0F6D727E"/>
    <w:rsid w:val="0F7E451E"/>
    <w:rsid w:val="0F9B2E7C"/>
    <w:rsid w:val="0FA121E0"/>
    <w:rsid w:val="0FA30F3F"/>
    <w:rsid w:val="0FA90B55"/>
    <w:rsid w:val="0FB31899"/>
    <w:rsid w:val="0FDB3671"/>
    <w:rsid w:val="0FE80A0C"/>
    <w:rsid w:val="0FEE3026"/>
    <w:rsid w:val="0FF967AC"/>
    <w:rsid w:val="0FFA4D1A"/>
    <w:rsid w:val="0FFF3B01"/>
    <w:rsid w:val="10046AD5"/>
    <w:rsid w:val="10220ACB"/>
    <w:rsid w:val="10250B94"/>
    <w:rsid w:val="10334AD4"/>
    <w:rsid w:val="10335795"/>
    <w:rsid w:val="103D77BC"/>
    <w:rsid w:val="104C1E99"/>
    <w:rsid w:val="104F3003"/>
    <w:rsid w:val="10534D62"/>
    <w:rsid w:val="105C754E"/>
    <w:rsid w:val="10753B56"/>
    <w:rsid w:val="107D30AF"/>
    <w:rsid w:val="10870262"/>
    <w:rsid w:val="10980FCC"/>
    <w:rsid w:val="109A3771"/>
    <w:rsid w:val="10AD1F54"/>
    <w:rsid w:val="10B2230B"/>
    <w:rsid w:val="10B41522"/>
    <w:rsid w:val="10B97101"/>
    <w:rsid w:val="10C60A35"/>
    <w:rsid w:val="10C95425"/>
    <w:rsid w:val="10CC221A"/>
    <w:rsid w:val="10DC499E"/>
    <w:rsid w:val="10E6621F"/>
    <w:rsid w:val="10F36181"/>
    <w:rsid w:val="10F951B0"/>
    <w:rsid w:val="1112341E"/>
    <w:rsid w:val="1117167F"/>
    <w:rsid w:val="111B74FA"/>
    <w:rsid w:val="11205C8D"/>
    <w:rsid w:val="11215E7D"/>
    <w:rsid w:val="112A395D"/>
    <w:rsid w:val="1136706E"/>
    <w:rsid w:val="113B307C"/>
    <w:rsid w:val="114866CA"/>
    <w:rsid w:val="115528AD"/>
    <w:rsid w:val="117B61E0"/>
    <w:rsid w:val="118F3834"/>
    <w:rsid w:val="11965A2F"/>
    <w:rsid w:val="11B11AEA"/>
    <w:rsid w:val="11B758AF"/>
    <w:rsid w:val="11BA71ED"/>
    <w:rsid w:val="11BC489D"/>
    <w:rsid w:val="11CD23DE"/>
    <w:rsid w:val="11D77BC3"/>
    <w:rsid w:val="11D95B61"/>
    <w:rsid w:val="11EB69DF"/>
    <w:rsid w:val="11F33AF7"/>
    <w:rsid w:val="11F3733C"/>
    <w:rsid w:val="11F5187B"/>
    <w:rsid w:val="11F67276"/>
    <w:rsid w:val="11FF5973"/>
    <w:rsid w:val="12164442"/>
    <w:rsid w:val="12181025"/>
    <w:rsid w:val="12243521"/>
    <w:rsid w:val="122F0EFF"/>
    <w:rsid w:val="123015E0"/>
    <w:rsid w:val="12433C5F"/>
    <w:rsid w:val="124D307C"/>
    <w:rsid w:val="125809E2"/>
    <w:rsid w:val="125A3D5B"/>
    <w:rsid w:val="126146E7"/>
    <w:rsid w:val="1271004E"/>
    <w:rsid w:val="127652F2"/>
    <w:rsid w:val="127962E4"/>
    <w:rsid w:val="12A54CAD"/>
    <w:rsid w:val="12AD4043"/>
    <w:rsid w:val="12B14E49"/>
    <w:rsid w:val="12CD7AF0"/>
    <w:rsid w:val="12E41C72"/>
    <w:rsid w:val="12EA5838"/>
    <w:rsid w:val="12EB7D61"/>
    <w:rsid w:val="12EC535C"/>
    <w:rsid w:val="12F22B9F"/>
    <w:rsid w:val="13005213"/>
    <w:rsid w:val="13193ED8"/>
    <w:rsid w:val="13230D42"/>
    <w:rsid w:val="13352396"/>
    <w:rsid w:val="133D260C"/>
    <w:rsid w:val="13471A4F"/>
    <w:rsid w:val="1347734E"/>
    <w:rsid w:val="134E4986"/>
    <w:rsid w:val="135415EF"/>
    <w:rsid w:val="137640BD"/>
    <w:rsid w:val="13807B6E"/>
    <w:rsid w:val="13A35249"/>
    <w:rsid w:val="13AE3295"/>
    <w:rsid w:val="13B01DA3"/>
    <w:rsid w:val="13C935D3"/>
    <w:rsid w:val="13D06B59"/>
    <w:rsid w:val="13D6466F"/>
    <w:rsid w:val="13E81E50"/>
    <w:rsid w:val="13EC63F8"/>
    <w:rsid w:val="13FA094C"/>
    <w:rsid w:val="13FC7D4A"/>
    <w:rsid w:val="13FE67FC"/>
    <w:rsid w:val="14036CCD"/>
    <w:rsid w:val="14080722"/>
    <w:rsid w:val="141C2EE7"/>
    <w:rsid w:val="143678DB"/>
    <w:rsid w:val="1437323D"/>
    <w:rsid w:val="14525D56"/>
    <w:rsid w:val="145C54A8"/>
    <w:rsid w:val="1488421A"/>
    <w:rsid w:val="149B1A9C"/>
    <w:rsid w:val="149C72CB"/>
    <w:rsid w:val="14BC46BD"/>
    <w:rsid w:val="14CC2AA6"/>
    <w:rsid w:val="14D16EA2"/>
    <w:rsid w:val="14DE74EC"/>
    <w:rsid w:val="14DF61F7"/>
    <w:rsid w:val="14EF731E"/>
    <w:rsid w:val="14F21AD3"/>
    <w:rsid w:val="14F81408"/>
    <w:rsid w:val="14FA49CB"/>
    <w:rsid w:val="15011785"/>
    <w:rsid w:val="15485ADA"/>
    <w:rsid w:val="155810A4"/>
    <w:rsid w:val="15593BFF"/>
    <w:rsid w:val="15691476"/>
    <w:rsid w:val="156F3E1F"/>
    <w:rsid w:val="15707888"/>
    <w:rsid w:val="158237E0"/>
    <w:rsid w:val="15823994"/>
    <w:rsid w:val="15845FDA"/>
    <w:rsid w:val="15896E25"/>
    <w:rsid w:val="1594770F"/>
    <w:rsid w:val="15951987"/>
    <w:rsid w:val="159C2910"/>
    <w:rsid w:val="159D3CD9"/>
    <w:rsid w:val="15A55116"/>
    <w:rsid w:val="15AF2CC9"/>
    <w:rsid w:val="15B51BE7"/>
    <w:rsid w:val="15BA1823"/>
    <w:rsid w:val="15E47428"/>
    <w:rsid w:val="162D6E09"/>
    <w:rsid w:val="164C11AD"/>
    <w:rsid w:val="164F1A88"/>
    <w:rsid w:val="165B205C"/>
    <w:rsid w:val="16744071"/>
    <w:rsid w:val="167542E0"/>
    <w:rsid w:val="16797C99"/>
    <w:rsid w:val="1680645E"/>
    <w:rsid w:val="169244FA"/>
    <w:rsid w:val="16A64AEE"/>
    <w:rsid w:val="16AB7A53"/>
    <w:rsid w:val="16AF7104"/>
    <w:rsid w:val="16B01F3D"/>
    <w:rsid w:val="16B04D53"/>
    <w:rsid w:val="16B701D1"/>
    <w:rsid w:val="16BB6A10"/>
    <w:rsid w:val="16C5588E"/>
    <w:rsid w:val="16EA1C73"/>
    <w:rsid w:val="1700150A"/>
    <w:rsid w:val="17022E98"/>
    <w:rsid w:val="1715033B"/>
    <w:rsid w:val="17157C0B"/>
    <w:rsid w:val="171E2689"/>
    <w:rsid w:val="17275E00"/>
    <w:rsid w:val="174A1BE7"/>
    <w:rsid w:val="175269F3"/>
    <w:rsid w:val="175965F5"/>
    <w:rsid w:val="17713F0C"/>
    <w:rsid w:val="177E1125"/>
    <w:rsid w:val="178D7F71"/>
    <w:rsid w:val="179C39AC"/>
    <w:rsid w:val="17AF6237"/>
    <w:rsid w:val="17B342BA"/>
    <w:rsid w:val="17C44639"/>
    <w:rsid w:val="17C463D3"/>
    <w:rsid w:val="17CB2C42"/>
    <w:rsid w:val="17DA591D"/>
    <w:rsid w:val="17F94986"/>
    <w:rsid w:val="17FF4999"/>
    <w:rsid w:val="180D79CF"/>
    <w:rsid w:val="182D0541"/>
    <w:rsid w:val="1830600E"/>
    <w:rsid w:val="18420E48"/>
    <w:rsid w:val="18423D8A"/>
    <w:rsid w:val="18581E34"/>
    <w:rsid w:val="1867457F"/>
    <w:rsid w:val="186E3A7A"/>
    <w:rsid w:val="1876741D"/>
    <w:rsid w:val="18810092"/>
    <w:rsid w:val="188C2BCA"/>
    <w:rsid w:val="18915230"/>
    <w:rsid w:val="18937AD5"/>
    <w:rsid w:val="18A42A8B"/>
    <w:rsid w:val="18AB0E68"/>
    <w:rsid w:val="18AB6B7C"/>
    <w:rsid w:val="18AD71FE"/>
    <w:rsid w:val="18B61883"/>
    <w:rsid w:val="18B61EF8"/>
    <w:rsid w:val="18B71752"/>
    <w:rsid w:val="18BF3F0D"/>
    <w:rsid w:val="18FC34F8"/>
    <w:rsid w:val="19016B93"/>
    <w:rsid w:val="190A6A57"/>
    <w:rsid w:val="19191116"/>
    <w:rsid w:val="19383D0E"/>
    <w:rsid w:val="193C06B7"/>
    <w:rsid w:val="19447EB2"/>
    <w:rsid w:val="194563B5"/>
    <w:rsid w:val="19601958"/>
    <w:rsid w:val="1964484F"/>
    <w:rsid w:val="196F1959"/>
    <w:rsid w:val="19792523"/>
    <w:rsid w:val="197D14E4"/>
    <w:rsid w:val="198548CE"/>
    <w:rsid w:val="19915903"/>
    <w:rsid w:val="19AB3C4E"/>
    <w:rsid w:val="19AB6F81"/>
    <w:rsid w:val="19AF3F0D"/>
    <w:rsid w:val="19B42977"/>
    <w:rsid w:val="19B51514"/>
    <w:rsid w:val="19BF3BC5"/>
    <w:rsid w:val="19C37B03"/>
    <w:rsid w:val="19CD7BF1"/>
    <w:rsid w:val="19CE4ED6"/>
    <w:rsid w:val="19D43DE1"/>
    <w:rsid w:val="19D81D9A"/>
    <w:rsid w:val="19E51A0D"/>
    <w:rsid w:val="19EF003D"/>
    <w:rsid w:val="19F52CD9"/>
    <w:rsid w:val="19F67D7F"/>
    <w:rsid w:val="19FA23DD"/>
    <w:rsid w:val="1A04773D"/>
    <w:rsid w:val="1A053691"/>
    <w:rsid w:val="1A0E6878"/>
    <w:rsid w:val="1A2847B1"/>
    <w:rsid w:val="1A296232"/>
    <w:rsid w:val="1A2D129C"/>
    <w:rsid w:val="1A2E5B68"/>
    <w:rsid w:val="1A301E5C"/>
    <w:rsid w:val="1A4E6151"/>
    <w:rsid w:val="1A543DC9"/>
    <w:rsid w:val="1A551391"/>
    <w:rsid w:val="1A595CA8"/>
    <w:rsid w:val="1A5F1566"/>
    <w:rsid w:val="1A693AB0"/>
    <w:rsid w:val="1A7A5D8E"/>
    <w:rsid w:val="1AA1145C"/>
    <w:rsid w:val="1AA70D3B"/>
    <w:rsid w:val="1AAD77DB"/>
    <w:rsid w:val="1ABA63A3"/>
    <w:rsid w:val="1AC8602F"/>
    <w:rsid w:val="1AE65CF7"/>
    <w:rsid w:val="1AEA7865"/>
    <w:rsid w:val="1AEC4507"/>
    <w:rsid w:val="1AF1566E"/>
    <w:rsid w:val="1B077D27"/>
    <w:rsid w:val="1B087D50"/>
    <w:rsid w:val="1B0A5730"/>
    <w:rsid w:val="1B0D78D7"/>
    <w:rsid w:val="1B0E7D9C"/>
    <w:rsid w:val="1B22513F"/>
    <w:rsid w:val="1B282E97"/>
    <w:rsid w:val="1B441055"/>
    <w:rsid w:val="1B4734C5"/>
    <w:rsid w:val="1B4C07B5"/>
    <w:rsid w:val="1B506252"/>
    <w:rsid w:val="1B52765C"/>
    <w:rsid w:val="1B5B1AEC"/>
    <w:rsid w:val="1B635C83"/>
    <w:rsid w:val="1B6C25E8"/>
    <w:rsid w:val="1B73190C"/>
    <w:rsid w:val="1B793426"/>
    <w:rsid w:val="1B7F4A7D"/>
    <w:rsid w:val="1B8A2061"/>
    <w:rsid w:val="1BA50F1C"/>
    <w:rsid w:val="1BAD159C"/>
    <w:rsid w:val="1BAE002F"/>
    <w:rsid w:val="1BAF3C6A"/>
    <w:rsid w:val="1BAF75A4"/>
    <w:rsid w:val="1BB70A06"/>
    <w:rsid w:val="1BB84980"/>
    <w:rsid w:val="1BC16D6D"/>
    <w:rsid w:val="1BC729B7"/>
    <w:rsid w:val="1BDA5C1E"/>
    <w:rsid w:val="1BE444D2"/>
    <w:rsid w:val="1BF01F44"/>
    <w:rsid w:val="1BFA0C60"/>
    <w:rsid w:val="1C056F8F"/>
    <w:rsid w:val="1C0A2043"/>
    <w:rsid w:val="1C0C75A5"/>
    <w:rsid w:val="1C1075A2"/>
    <w:rsid w:val="1C1E1CC6"/>
    <w:rsid w:val="1C234EE8"/>
    <w:rsid w:val="1C245D07"/>
    <w:rsid w:val="1C2E54D5"/>
    <w:rsid w:val="1C2F756D"/>
    <w:rsid w:val="1C320331"/>
    <w:rsid w:val="1C356958"/>
    <w:rsid w:val="1C5750EE"/>
    <w:rsid w:val="1C615007"/>
    <w:rsid w:val="1C75128E"/>
    <w:rsid w:val="1C7D7AEA"/>
    <w:rsid w:val="1C8615E1"/>
    <w:rsid w:val="1C9E7B4D"/>
    <w:rsid w:val="1CA9019C"/>
    <w:rsid w:val="1CAF18A4"/>
    <w:rsid w:val="1CC400CD"/>
    <w:rsid w:val="1CC418C3"/>
    <w:rsid w:val="1CC71098"/>
    <w:rsid w:val="1CCD7602"/>
    <w:rsid w:val="1CCE4CB0"/>
    <w:rsid w:val="1CD620D0"/>
    <w:rsid w:val="1CD97C71"/>
    <w:rsid w:val="1CE73BCD"/>
    <w:rsid w:val="1CE87C26"/>
    <w:rsid w:val="1D1D291B"/>
    <w:rsid w:val="1D200DF2"/>
    <w:rsid w:val="1D24311E"/>
    <w:rsid w:val="1D2C3A1A"/>
    <w:rsid w:val="1D3A5F95"/>
    <w:rsid w:val="1D3E77AE"/>
    <w:rsid w:val="1D41234E"/>
    <w:rsid w:val="1D5755D8"/>
    <w:rsid w:val="1D5B68B2"/>
    <w:rsid w:val="1D5C0DA0"/>
    <w:rsid w:val="1D5C7E4E"/>
    <w:rsid w:val="1D64387A"/>
    <w:rsid w:val="1D6F4610"/>
    <w:rsid w:val="1D7C1A78"/>
    <w:rsid w:val="1D9B552B"/>
    <w:rsid w:val="1DAC22DB"/>
    <w:rsid w:val="1DAE6E5C"/>
    <w:rsid w:val="1DB50D60"/>
    <w:rsid w:val="1DBA2C03"/>
    <w:rsid w:val="1DC855C8"/>
    <w:rsid w:val="1DCC34E5"/>
    <w:rsid w:val="1DF12F4A"/>
    <w:rsid w:val="1DF63D7D"/>
    <w:rsid w:val="1DFF58CB"/>
    <w:rsid w:val="1E0C4D92"/>
    <w:rsid w:val="1E1778A7"/>
    <w:rsid w:val="1E1C4671"/>
    <w:rsid w:val="1E1E6FEA"/>
    <w:rsid w:val="1E1F021D"/>
    <w:rsid w:val="1E242E24"/>
    <w:rsid w:val="1E2B492A"/>
    <w:rsid w:val="1E2C3459"/>
    <w:rsid w:val="1E330861"/>
    <w:rsid w:val="1E4F7344"/>
    <w:rsid w:val="1E5E3EFC"/>
    <w:rsid w:val="1E685543"/>
    <w:rsid w:val="1E703940"/>
    <w:rsid w:val="1E7374F2"/>
    <w:rsid w:val="1E786486"/>
    <w:rsid w:val="1E842EE0"/>
    <w:rsid w:val="1E8A301C"/>
    <w:rsid w:val="1E8E199E"/>
    <w:rsid w:val="1E993097"/>
    <w:rsid w:val="1E9A1092"/>
    <w:rsid w:val="1EA5131C"/>
    <w:rsid w:val="1EBE433E"/>
    <w:rsid w:val="1EC1008A"/>
    <w:rsid w:val="1EC21110"/>
    <w:rsid w:val="1ECA08BD"/>
    <w:rsid w:val="1ECD4EC5"/>
    <w:rsid w:val="1EDA25DD"/>
    <w:rsid w:val="1EE11B4F"/>
    <w:rsid w:val="1EE77E81"/>
    <w:rsid w:val="1F084EB6"/>
    <w:rsid w:val="1F0C55E7"/>
    <w:rsid w:val="1F1063FE"/>
    <w:rsid w:val="1F136F11"/>
    <w:rsid w:val="1F1F3F39"/>
    <w:rsid w:val="1F2206FC"/>
    <w:rsid w:val="1F2351FB"/>
    <w:rsid w:val="1F3666FB"/>
    <w:rsid w:val="1F403CCE"/>
    <w:rsid w:val="1F5D7A9F"/>
    <w:rsid w:val="1F735054"/>
    <w:rsid w:val="1F850D69"/>
    <w:rsid w:val="1F945F7A"/>
    <w:rsid w:val="1FA12CB7"/>
    <w:rsid w:val="1FB524E8"/>
    <w:rsid w:val="1FB8537F"/>
    <w:rsid w:val="1FD125E5"/>
    <w:rsid w:val="1FD40B60"/>
    <w:rsid w:val="1FDE5CF0"/>
    <w:rsid w:val="1FE04664"/>
    <w:rsid w:val="1FEB3CDD"/>
    <w:rsid w:val="1FF04DA1"/>
    <w:rsid w:val="1FF443B1"/>
    <w:rsid w:val="20042B2B"/>
    <w:rsid w:val="20121BC9"/>
    <w:rsid w:val="201575E8"/>
    <w:rsid w:val="20230E4F"/>
    <w:rsid w:val="202B4648"/>
    <w:rsid w:val="20305252"/>
    <w:rsid w:val="20323A5F"/>
    <w:rsid w:val="204A3E68"/>
    <w:rsid w:val="20513144"/>
    <w:rsid w:val="20577738"/>
    <w:rsid w:val="205B73F7"/>
    <w:rsid w:val="206E6DAF"/>
    <w:rsid w:val="20766C9C"/>
    <w:rsid w:val="20834DEC"/>
    <w:rsid w:val="208F0A9D"/>
    <w:rsid w:val="20920AA1"/>
    <w:rsid w:val="2092752B"/>
    <w:rsid w:val="209652FA"/>
    <w:rsid w:val="20991C3F"/>
    <w:rsid w:val="20B60991"/>
    <w:rsid w:val="20CF1810"/>
    <w:rsid w:val="20F7071E"/>
    <w:rsid w:val="20FF7833"/>
    <w:rsid w:val="21150BEF"/>
    <w:rsid w:val="211A1A71"/>
    <w:rsid w:val="211E1F94"/>
    <w:rsid w:val="212B6F56"/>
    <w:rsid w:val="21325170"/>
    <w:rsid w:val="2145293E"/>
    <w:rsid w:val="2149125A"/>
    <w:rsid w:val="2149310F"/>
    <w:rsid w:val="21641613"/>
    <w:rsid w:val="217E0F1B"/>
    <w:rsid w:val="21891979"/>
    <w:rsid w:val="218A1D67"/>
    <w:rsid w:val="21A36E1B"/>
    <w:rsid w:val="21A6753B"/>
    <w:rsid w:val="21AB4301"/>
    <w:rsid w:val="21BE07D1"/>
    <w:rsid w:val="21C14FB3"/>
    <w:rsid w:val="21CE5937"/>
    <w:rsid w:val="21E277CA"/>
    <w:rsid w:val="21F10044"/>
    <w:rsid w:val="21F21D52"/>
    <w:rsid w:val="21FE7B36"/>
    <w:rsid w:val="22095AC9"/>
    <w:rsid w:val="220B0ADA"/>
    <w:rsid w:val="22174B00"/>
    <w:rsid w:val="22181AB6"/>
    <w:rsid w:val="221F146F"/>
    <w:rsid w:val="222F29F8"/>
    <w:rsid w:val="22330895"/>
    <w:rsid w:val="2238433A"/>
    <w:rsid w:val="22385E79"/>
    <w:rsid w:val="223A2583"/>
    <w:rsid w:val="22460B28"/>
    <w:rsid w:val="224D73DC"/>
    <w:rsid w:val="225979C3"/>
    <w:rsid w:val="225A03DB"/>
    <w:rsid w:val="226E3446"/>
    <w:rsid w:val="22781F88"/>
    <w:rsid w:val="22886A4D"/>
    <w:rsid w:val="229216A3"/>
    <w:rsid w:val="22977D8E"/>
    <w:rsid w:val="22A13519"/>
    <w:rsid w:val="22C54E5E"/>
    <w:rsid w:val="22CB7DE8"/>
    <w:rsid w:val="22CD57C2"/>
    <w:rsid w:val="22D518D4"/>
    <w:rsid w:val="22D563EC"/>
    <w:rsid w:val="22F47D94"/>
    <w:rsid w:val="22F7610C"/>
    <w:rsid w:val="22F94667"/>
    <w:rsid w:val="23001A71"/>
    <w:rsid w:val="23033B1C"/>
    <w:rsid w:val="23045A17"/>
    <w:rsid w:val="23050ED0"/>
    <w:rsid w:val="23057C2E"/>
    <w:rsid w:val="231425C7"/>
    <w:rsid w:val="23171FD9"/>
    <w:rsid w:val="23172972"/>
    <w:rsid w:val="23193C4A"/>
    <w:rsid w:val="23200F4D"/>
    <w:rsid w:val="23223DC5"/>
    <w:rsid w:val="2325645C"/>
    <w:rsid w:val="232E78EE"/>
    <w:rsid w:val="2332791E"/>
    <w:rsid w:val="2337708F"/>
    <w:rsid w:val="233A5B77"/>
    <w:rsid w:val="234C1DCC"/>
    <w:rsid w:val="23574840"/>
    <w:rsid w:val="2366528F"/>
    <w:rsid w:val="23722CB0"/>
    <w:rsid w:val="237615DA"/>
    <w:rsid w:val="23813B8C"/>
    <w:rsid w:val="23896718"/>
    <w:rsid w:val="239133C6"/>
    <w:rsid w:val="239434A3"/>
    <w:rsid w:val="23947553"/>
    <w:rsid w:val="239F2DC1"/>
    <w:rsid w:val="23AB7A90"/>
    <w:rsid w:val="23B77221"/>
    <w:rsid w:val="23BD766A"/>
    <w:rsid w:val="23BF7F55"/>
    <w:rsid w:val="23C55E21"/>
    <w:rsid w:val="23CD2DE4"/>
    <w:rsid w:val="23D436D9"/>
    <w:rsid w:val="23D86C07"/>
    <w:rsid w:val="23EA3C32"/>
    <w:rsid w:val="23FC5212"/>
    <w:rsid w:val="23FF6960"/>
    <w:rsid w:val="24024CA8"/>
    <w:rsid w:val="242330D6"/>
    <w:rsid w:val="242C63ED"/>
    <w:rsid w:val="24305CD9"/>
    <w:rsid w:val="2439048F"/>
    <w:rsid w:val="243E5885"/>
    <w:rsid w:val="24402D98"/>
    <w:rsid w:val="24433D71"/>
    <w:rsid w:val="24505AF8"/>
    <w:rsid w:val="245D58CF"/>
    <w:rsid w:val="2460452B"/>
    <w:rsid w:val="24661D81"/>
    <w:rsid w:val="247C2420"/>
    <w:rsid w:val="248C7928"/>
    <w:rsid w:val="24992C3F"/>
    <w:rsid w:val="249A09D8"/>
    <w:rsid w:val="249E412C"/>
    <w:rsid w:val="24A2263B"/>
    <w:rsid w:val="24B00086"/>
    <w:rsid w:val="24CA55FA"/>
    <w:rsid w:val="24CE6E9F"/>
    <w:rsid w:val="24D906D7"/>
    <w:rsid w:val="24E70DDF"/>
    <w:rsid w:val="24EE74DC"/>
    <w:rsid w:val="251B24A2"/>
    <w:rsid w:val="252071FA"/>
    <w:rsid w:val="2535279D"/>
    <w:rsid w:val="255E6EBF"/>
    <w:rsid w:val="25862544"/>
    <w:rsid w:val="25A37175"/>
    <w:rsid w:val="25B634D7"/>
    <w:rsid w:val="25C35B35"/>
    <w:rsid w:val="25D33997"/>
    <w:rsid w:val="25D7080D"/>
    <w:rsid w:val="25F93E30"/>
    <w:rsid w:val="260157D8"/>
    <w:rsid w:val="2608692E"/>
    <w:rsid w:val="260C58C5"/>
    <w:rsid w:val="26103FA7"/>
    <w:rsid w:val="261F28E2"/>
    <w:rsid w:val="26317F02"/>
    <w:rsid w:val="263C7542"/>
    <w:rsid w:val="264E1BD7"/>
    <w:rsid w:val="26525ABF"/>
    <w:rsid w:val="26580129"/>
    <w:rsid w:val="265E5A3D"/>
    <w:rsid w:val="266B3FBF"/>
    <w:rsid w:val="266B7773"/>
    <w:rsid w:val="2670091B"/>
    <w:rsid w:val="26846ED1"/>
    <w:rsid w:val="26865998"/>
    <w:rsid w:val="26871BB0"/>
    <w:rsid w:val="268D7485"/>
    <w:rsid w:val="26A20621"/>
    <w:rsid w:val="26A2570F"/>
    <w:rsid w:val="26BA1F09"/>
    <w:rsid w:val="26BB7BE9"/>
    <w:rsid w:val="26BD53BF"/>
    <w:rsid w:val="26C41B0C"/>
    <w:rsid w:val="26D40671"/>
    <w:rsid w:val="26D434C2"/>
    <w:rsid w:val="26E37853"/>
    <w:rsid w:val="26EC6E10"/>
    <w:rsid w:val="26F2145D"/>
    <w:rsid w:val="26FD713B"/>
    <w:rsid w:val="27103A2F"/>
    <w:rsid w:val="27185642"/>
    <w:rsid w:val="272418A0"/>
    <w:rsid w:val="27287300"/>
    <w:rsid w:val="273106D3"/>
    <w:rsid w:val="27326E8F"/>
    <w:rsid w:val="27374FF4"/>
    <w:rsid w:val="2737620D"/>
    <w:rsid w:val="273B1DE9"/>
    <w:rsid w:val="275C284F"/>
    <w:rsid w:val="276A54F4"/>
    <w:rsid w:val="277A1EE9"/>
    <w:rsid w:val="277C0CC8"/>
    <w:rsid w:val="27850469"/>
    <w:rsid w:val="278712D9"/>
    <w:rsid w:val="278A7B60"/>
    <w:rsid w:val="27912DBA"/>
    <w:rsid w:val="27947308"/>
    <w:rsid w:val="27971C6E"/>
    <w:rsid w:val="27A75EAC"/>
    <w:rsid w:val="27AB1068"/>
    <w:rsid w:val="27AE2583"/>
    <w:rsid w:val="27BD5293"/>
    <w:rsid w:val="27BF7444"/>
    <w:rsid w:val="27CF0809"/>
    <w:rsid w:val="27D32AFA"/>
    <w:rsid w:val="27D513B8"/>
    <w:rsid w:val="27D77791"/>
    <w:rsid w:val="27E951EF"/>
    <w:rsid w:val="27EF3921"/>
    <w:rsid w:val="27EF54B5"/>
    <w:rsid w:val="27F85FD9"/>
    <w:rsid w:val="27F97D3B"/>
    <w:rsid w:val="282316C9"/>
    <w:rsid w:val="28271BFB"/>
    <w:rsid w:val="2829729D"/>
    <w:rsid w:val="282A3BFC"/>
    <w:rsid w:val="283202BF"/>
    <w:rsid w:val="283F1393"/>
    <w:rsid w:val="28472BAA"/>
    <w:rsid w:val="284949D0"/>
    <w:rsid w:val="285577BE"/>
    <w:rsid w:val="28575BA5"/>
    <w:rsid w:val="285B48D1"/>
    <w:rsid w:val="286B5074"/>
    <w:rsid w:val="286C6EC7"/>
    <w:rsid w:val="2889463D"/>
    <w:rsid w:val="28914870"/>
    <w:rsid w:val="28936E63"/>
    <w:rsid w:val="289B28FD"/>
    <w:rsid w:val="289C0A2E"/>
    <w:rsid w:val="28A1765A"/>
    <w:rsid w:val="28A85336"/>
    <w:rsid w:val="28AC1996"/>
    <w:rsid w:val="28B10F4D"/>
    <w:rsid w:val="28BC2993"/>
    <w:rsid w:val="28C1705D"/>
    <w:rsid w:val="28DE42CC"/>
    <w:rsid w:val="28E15251"/>
    <w:rsid w:val="28E2106E"/>
    <w:rsid w:val="28EA338A"/>
    <w:rsid w:val="28EB4FE6"/>
    <w:rsid w:val="29182AE2"/>
    <w:rsid w:val="29235611"/>
    <w:rsid w:val="29486BC2"/>
    <w:rsid w:val="297B73A0"/>
    <w:rsid w:val="29871F75"/>
    <w:rsid w:val="299500DD"/>
    <w:rsid w:val="29A72E14"/>
    <w:rsid w:val="29AB1636"/>
    <w:rsid w:val="29B91E1B"/>
    <w:rsid w:val="29C86F3D"/>
    <w:rsid w:val="29D302E5"/>
    <w:rsid w:val="29E2459F"/>
    <w:rsid w:val="29E30A24"/>
    <w:rsid w:val="29EB52A8"/>
    <w:rsid w:val="29EC75D9"/>
    <w:rsid w:val="29F070AF"/>
    <w:rsid w:val="29F51BB6"/>
    <w:rsid w:val="2A0D2B92"/>
    <w:rsid w:val="2A331A15"/>
    <w:rsid w:val="2A4300EA"/>
    <w:rsid w:val="2A566861"/>
    <w:rsid w:val="2A583CAE"/>
    <w:rsid w:val="2A5D2FF9"/>
    <w:rsid w:val="2A6162EF"/>
    <w:rsid w:val="2A664904"/>
    <w:rsid w:val="2A671F4C"/>
    <w:rsid w:val="2A6C0C25"/>
    <w:rsid w:val="2A712586"/>
    <w:rsid w:val="2A755A43"/>
    <w:rsid w:val="2A923773"/>
    <w:rsid w:val="2A97239D"/>
    <w:rsid w:val="2AA03AF0"/>
    <w:rsid w:val="2AA16B48"/>
    <w:rsid w:val="2AAA78E8"/>
    <w:rsid w:val="2ABA0F1B"/>
    <w:rsid w:val="2AE07C1D"/>
    <w:rsid w:val="2AE83932"/>
    <w:rsid w:val="2AFE1919"/>
    <w:rsid w:val="2B003867"/>
    <w:rsid w:val="2B086564"/>
    <w:rsid w:val="2B0E0A15"/>
    <w:rsid w:val="2B103799"/>
    <w:rsid w:val="2B10534B"/>
    <w:rsid w:val="2B190A6F"/>
    <w:rsid w:val="2B201F47"/>
    <w:rsid w:val="2B242CD3"/>
    <w:rsid w:val="2B274D12"/>
    <w:rsid w:val="2B370479"/>
    <w:rsid w:val="2B3710B5"/>
    <w:rsid w:val="2B40368C"/>
    <w:rsid w:val="2B412E48"/>
    <w:rsid w:val="2B474112"/>
    <w:rsid w:val="2B495F9E"/>
    <w:rsid w:val="2B6632B3"/>
    <w:rsid w:val="2B6A7F95"/>
    <w:rsid w:val="2B7A630B"/>
    <w:rsid w:val="2B837AC7"/>
    <w:rsid w:val="2B8708F9"/>
    <w:rsid w:val="2B875501"/>
    <w:rsid w:val="2B911F73"/>
    <w:rsid w:val="2B966DF1"/>
    <w:rsid w:val="2B9743F4"/>
    <w:rsid w:val="2BA246CA"/>
    <w:rsid w:val="2BA256D9"/>
    <w:rsid w:val="2BB540DC"/>
    <w:rsid w:val="2BC035D5"/>
    <w:rsid w:val="2BC64F11"/>
    <w:rsid w:val="2BCB3F82"/>
    <w:rsid w:val="2BD24446"/>
    <w:rsid w:val="2BE95749"/>
    <w:rsid w:val="2BED190F"/>
    <w:rsid w:val="2BFC6AD4"/>
    <w:rsid w:val="2C004408"/>
    <w:rsid w:val="2C172B73"/>
    <w:rsid w:val="2C1F63C6"/>
    <w:rsid w:val="2C233131"/>
    <w:rsid w:val="2C57676C"/>
    <w:rsid w:val="2C676069"/>
    <w:rsid w:val="2C74012E"/>
    <w:rsid w:val="2C851BB5"/>
    <w:rsid w:val="2CA5685F"/>
    <w:rsid w:val="2CA65DF2"/>
    <w:rsid w:val="2CA85EC4"/>
    <w:rsid w:val="2CAB2AC9"/>
    <w:rsid w:val="2CAD6B25"/>
    <w:rsid w:val="2CB61E4C"/>
    <w:rsid w:val="2CCD7459"/>
    <w:rsid w:val="2CD72ACE"/>
    <w:rsid w:val="2CEB0669"/>
    <w:rsid w:val="2D155ABE"/>
    <w:rsid w:val="2D381B6C"/>
    <w:rsid w:val="2D3949AA"/>
    <w:rsid w:val="2D443AE2"/>
    <w:rsid w:val="2D550BC5"/>
    <w:rsid w:val="2D6D1DDF"/>
    <w:rsid w:val="2D734F04"/>
    <w:rsid w:val="2D836E7E"/>
    <w:rsid w:val="2D8D36E8"/>
    <w:rsid w:val="2D927047"/>
    <w:rsid w:val="2D9F5261"/>
    <w:rsid w:val="2DB56722"/>
    <w:rsid w:val="2DD74C2B"/>
    <w:rsid w:val="2DE81A7A"/>
    <w:rsid w:val="2DEE2FDB"/>
    <w:rsid w:val="2DF124B1"/>
    <w:rsid w:val="2DF31A49"/>
    <w:rsid w:val="2E031B9A"/>
    <w:rsid w:val="2E0462A7"/>
    <w:rsid w:val="2E0D3D13"/>
    <w:rsid w:val="2E102FEF"/>
    <w:rsid w:val="2E270155"/>
    <w:rsid w:val="2E3A733E"/>
    <w:rsid w:val="2E4209FF"/>
    <w:rsid w:val="2E426AFA"/>
    <w:rsid w:val="2E474018"/>
    <w:rsid w:val="2E4B51CB"/>
    <w:rsid w:val="2E552732"/>
    <w:rsid w:val="2E586776"/>
    <w:rsid w:val="2E5F2C8D"/>
    <w:rsid w:val="2E61153A"/>
    <w:rsid w:val="2E61169F"/>
    <w:rsid w:val="2E65496C"/>
    <w:rsid w:val="2E7600AD"/>
    <w:rsid w:val="2E897BF0"/>
    <w:rsid w:val="2E940CC0"/>
    <w:rsid w:val="2E9F41F9"/>
    <w:rsid w:val="2EAB555B"/>
    <w:rsid w:val="2EC72B92"/>
    <w:rsid w:val="2ED54A8E"/>
    <w:rsid w:val="2ED836EE"/>
    <w:rsid w:val="2EDE0C42"/>
    <w:rsid w:val="2EE44695"/>
    <w:rsid w:val="2EEC1220"/>
    <w:rsid w:val="2EEC42AF"/>
    <w:rsid w:val="2F094A45"/>
    <w:rsid w:val="2F1544E7"/>
    <w:rsid w:val="2F193858"/>
    <w:rsid w:val="2F28309A"/>
    <w:rsid w:val="2F3167A5"/>
    <w:rsid w:val="2F334C96"/>
    <w:rsid w:val="2F353E8D"/>
    <w:rsid w:val="2F3D4331"/>
    <w:rsid w:val="2F3F322C"/>
    <w:rsid w:val="2F5479DF"/>
    <w:rsid w:val="2F550D66"/>
    <w:rsid w:val="2F5E1505"/>
    <w:rsid w:val="2F601CEE"/>
    <w:rsid w:val="2F6C3E75"/>
    <w:rsid w:val="2F7F5DC9"/>
    <w:rsid w:val="2F9C5097"/>
    <w:rsid w:val="2FB22441"/>
    <w:rsid w:val="2FCF0064"/>
    <w:rsid w:val="2FE352F5"/>
    <w:rsid w:val="2FE52AED"/>
    <w:rsid w:val="2FEA4B4D"/>
    <w:rsid w:val="2FF06294"/>
    <w:rsid w:val="2FF162FB"/>
    <w:rsid w:val="2FF9135A"/>
    <w:rsid w:val="300179E8"/>
    <w:rsid w:val="300478E4"/>
    <w:rsid w:val="301215B8"/>
    <w:rsid w:val="30194267"/>
    <w:rsid w:val="30214D3E"/>
    <w:rsid w:val="30217917"/>
    <w:rsid w:val="302D2809"/>
    <w:rsid w:val="304D4442"/>
    <w:rsid w:val="305A1CA4"/>
    <w:rsid w:val="305C3DC4"/>
    <w:rsid w:val="30730642"/>
    <w:rsid w:val="30775E87"/>
    <w:rsid w:val="307C78BB"/>
    <w:rsid w:val="30837E92"/>
    <w:rsid w:val="308A2AAF"/>
    <w:rsid w:val="308E5FDF"/>
    <w:rsid w:val="309237EE"/>
    <w:rsid w:val="309B06AC"/>
    <w:rsid w:val="30A91BDD"/>
    <w:rsid w:val="30DF2CFC"/>
    <w:rsid w:val="30FE5342"/>
    <w:rsid w:val="30FE6782"/>
    <w:rsid w:val="310C72DB"/>
    <w:rsid w:val="310D1792"/>
    <w:rsid w:val="312174D9"/>
    <w:rsid w:val="31242B8D"/>
    <w:rsid w:val="31302D16"/>
    <w:rsid w:val="31421D8A"/>
    <w:rsid w:val="31543575"/>
    <w:rsid w:val="3163392E"/>
    <w:rsid w:val="31812E6B"/>
    <w:rsid w:val="318601E9"/>
    <w:rsid w:val="318775EE"/>
    <w:rsid w:val="319E0A3B"/>
    <w:rsid w:val="31B678CD"/>
    <w:rsid w:val="31B867F0"/>
    <w:rsid w:val="31BD08C4"/>
    <w:rsid w:val="31C576F6"/>
    <w:rsid w:val="31C83110"/>
    <w:rsid w:val="31D979D3"/>
    <w:rsid w:val="31DA6514"/>
    <w:rsid w:val="31DB26DE"/>
    <w:rsid w:val="31ED4877"/>
    <w:rsid w:val="31FE6F20"/>
    <w:rsid w:val="320A01E5"/>
    <w:rsid w:val="320C2CA5"/>
    <w:rsid w:val="320F1124"/>
    <w:rsid w:val="322C7FFE"/>
    <w:rsid w:val="3239385F"/>
    <w:rsid w:val="323D1328"/>
    <w:rsid w:val="323F314C"/>
    <w:rsid w:val="324615EB"/>
    <w:rsid w:val="32467875"/>
    <w:rsid w:val="324C38CF"/>
    <w:rsid w:val="325356F9"/>
    <w:rsid w:val="325C2D76"/>
    <w:rsid w:val="326142B4"/>
    <w:rsid w:val="326D208C"/>
    <w:rsid w:val="326D70CA"/>
    <w:rsid w:val="326E1596"/>
    <w:rsid w:val="32850F8F"/>
    <w:rsid w:val="32865229"/>
    <w:rsid w:val="328710C1"/>
    <w:rsid w:val="3289062A"/>
    <w:rsid w:val="328A7381"/>
    <w:rsid w:val="328B2ABC"/>
    <w:rsid w:val="329247C7"/>
    <w:rsid w:val="32A63225"/>
    <w:rsid w:val="32AB7090"/>
    <w:rsid w:val="32B154F8"/>
    <w:rsid w:val="32B27549"/>
    <w:rsid w:val="32BF0051"/>
    <w:rsid w:val="32C246E2"/>
    <w:rsid w:val="32C67B64"/>
    <w:rsid w:val="32C92086"/>
    <w:rsid w:val="32D50CEB"/>
    <w:rsid w:val="32DC2031"/>
    <w:rsid w:val="32E234E1"/>
    <w:rsid w:val="32F12D06"/>
    <w:rsid w:val="331F61F8"/>
    <w:rsid w:val="33231DE6"/>
    <w:rsid w:val="333B6911"/>
    <w:rsid w:val="334A3913"/>
    <w:rsid w:val="334E6C51"/>
    <w:rsid w:val="33571F8D"/>
    <w:rsid w:val="335D1D86"/>
    <w:rsid w:val="33742B4B"/>
    <w:rsid w:val="3378319E"/>
    <w:rsid w:val="33784C2D"/>
    <w:rsid w:val="33937728"/>
    <w:rsid w:val="3394688F"/>
    <w:rsid w:val="339669AD"/>
    <w:rsid w:val="33A45F90"/>
    <w:rsid w:val="33A849E6"/>
    <w:rsid w:val="33AC27DE"/>
    <w:rsid w:val="33AD0C9D"/>
    <w:rsid w:val="33BF61F6"/>
    <w:rsid w:val="33D103B1"/>
    <w:rsid w:val="33D45CA0"/>
    <w:rsid w:val="33DD226B"/>
    <w:rsid w:val="33E721E1"/>
    <w:rsid w:val="33ED696B"/>
    <w:rsid w:val="33EE4351"/>
    <w:rsid w:val="33FC6D82"/>
    <w:rsid w:val="33FF4766"/>
    <w:rsid w:val="34053519"/>
    <w:rsid w:val="34087518"/>
    <w:rsid w:val="340925AB"/>
    <w:rsid w:val="340C2EE8"/>
    <w:rsid w:val="34231E05"/>
    <w:rsid w:val="343671E2"/>
    <w:rsid w:val="343972C8"/>
    <w:rsid w:val="34435B4A"/>
    <w:rsid w:val="345538E9"/>
    <w:rsid w:val="34613CC5"/>
    <w:rsid w:val="34664267"/>
    <w:rsid w:val="346B074E"/>
    <w:rsid w:val="346D4D3D"/>
    <w:rsid w:val="34802039"/>
    <w:rsid w:val="348670BF"/>
    <w:rsid w:val="34A35E09"/>
    <w:rsid w:val="34A66754"/>
    <w:rsid w:val="34A94975"/>
    <w:rsid w:val="34B05AE0"/>
    <w:rsid w:val="34C54DB9"/>
    <w:rsid w:val="34D51477"/>
    <w:rsid w:val="34E16E3E"/>
    <w:rsid w:val="34E7754B"/>
    <w:rsid w:val="34EA0F65"/>
    <w:rsid w:val="34EE4A2A"/>
    <w:rsid w:val="34F252CF"/>
    <w:rsid w:val="35072635"/>
    <w:rsid w:val="351336D1"/>
    <w:rsid w:val="351E408A"/>
    <w:rsid w:val="35257281"/>
    <w:rsid w:val="35277C4C"/>
    <w:rsid w:val="353A4F3D"/>
    <w:rsid w:val="3544100D"/>
    <w:rsid w:val="354F17A2"/>
    <w:rsid w:val="35504E47"/>
    <w:rsid w:val="35520019"/>
    <w:rsid w:val="35573624"/>
    <w:rsid w:val="35666732"/>
    <w:rsid w:val="356A3CB3"/>
    <w:rsid w:val="356A5601"/>
    <w:rsid w:val="35810C19"/>
    <w:rsid w:val="35A26587"/>
    <w:rsid w:val="35A50835"/>
    <w:rsid w:val="35A6772E"/>
    <w:rsid w:val="35A9568E"/>
    <w:rsid w:val="35BF1BD4"/>
    <w:rsid w:val="35D02FEC"/>
    <w:rsid w:val="35E70BB1"/>
    <w:rsid w:val="35F87072"/>
    <w:rsid w:val="35FD2EFD"/>
    <w:rsid w:val="35FE0BB3"/>
    <w:rsid w:val="36111A4B"/>
    <w:rsid w:val="36195212"/>
    <w:rsid w:val="361A3639"/>
    <w:rsid w:val="361C110A"/>
    <w:rsid w:val="362E61A0"/>
    <w:rsid w:val="363E6BAA"/>
    <w:rsid w:val="364B2626"/>
    <w:rsid w:val="364D32BD"/>
    <w:rsid w:val="364D7D72"/>
    <w:rsid w:val="366B0451"/>
    <w:rsid w:val="366C04F3"/>
    <w:rsid w:val="366D5A87"/>
    <w:rsid w:val="3683705A"/>
    <w:rsid w:val="36853208"/>
    <w:rsid w:val="36860B9F"/>
    <w:rsid w:val="369B6791"/>
    <w:rsid w:val="369C2B95"/>
    <w:rsid w:val="369D24A5"/>
    <w:rsid w:val="36B030B4"/>
    <w:rsid w:val="36CC2675"/>
    <w:rsid w:val="36CE6DB8"/>
    <w:rsid w:val="36E307AE"/>
    <w:rsid w:val="36EC6535"/>
    <w:rsid w:val="36FB066F"/>
    <w:rsid w:val="36FD139B"/>
    <w:rsid w:val="370675E4"/>
    <w:rsid w:val="37073CAE"/>
    <w:rsid w:val="37151B78"/>
    <w:rsid w:val="372651A3"/>
    <w:rsid w:val="373308DF"/>
    <w:rsid w:val="3742172B"/>
    <w:rsid w:val="374335A2"/>
    <w:rsid w:val="37895DDE"/>
    <w:rsid w:val="3792112C"/>
    <w:rsid w:val="37B27BCE"/>
    <w:rsid w:val="37B355DC"/>
    <w:rsid w:val="37C21957"/>
    <w:rsid w:val="37C26955"/>
    <w:rsid w:val="37C301E1"/>
    <w:rsid w:val="37CC53A3"/>
    <w:rsid w:val="37D17364"/>
    <w:rsid w:val="37D47183"/>
    <w:rsid w:val="37D65D24"/>
    <w:rsid w:val="37DD4B78"/>
    <w:rsid w:val="37E8771B"/>
    <w:rsid w:val="37E87BE1"/>
    <w:rsid w:val="38046BF6"/>
    <w:rsid w:val="381E5B04"/>
    <w:rsid w:val="381F5C4D"/>
    <w:rsid w:val="382A1023"/>
    <w:rsid w:val="383D38CF"/>
    <w:rsid w:val="384C35CB"/>
    <w:rsid w:val="384E12A2"/>
    <w:rsid w:val="38503D28"/>
    <w:rsid w:val="38523455"/>
    <w:rsid w:val="38560A62"/>
    <w:rsid w:val="3858063B"/>
    <w:rsid w:val="385B3DF4"/>
    <w:rsid w:val="38685765"/>
    <w:rsid w:val="388C2CFA"/>
    <w:rsid w:val="389E0403"/>
    <w:rsid w:val="38B40C4A"/>
    <w:rsid w:val="38B42EB2"/>
    <w:rsid w:val="38B51744"/>
    <w:rsid w:val="38C349B5"/>
    <w:rsid w:val="38C83BDE"/>
    <w:rsid w:val="38C84D75"/>
    <w:rsid w:val="38E52CCB"/>
    <w:rsid w:val="38E630AE"/>
    <w:rsid w:val="39041AA3"/>
    <w:rsid w:val="390F0DD7"/>
    <w:rsid w:val="39175033"/>
    <w:rsid w:val="391D54BB"/>
    <w:rsid w:val="392B1EFD"/>
    <w:rsid w:val="393B6A45"/>
    <w:rsid w:val="39432D0B"/>
    <w:rsid w:val="394F0531"/>
    <w:rsid w:val="39527D99"/>
    <w:rsid w:val="3957061E"/>
    <w:rsid w:val="395E28DC"/>
    <w:rsid w:val="395F0FA5"/>
    <w:rsid w:val="39620604"/>
    <w:rsid w:val="39661607"/>
    <w:rsid w:val="397677C2"/>
    <w:rsid w:val="397B0031"/>
    <w:rsid w:val="397E5634"/>
    <w:rsid w:val="397F1A92"/>
    <w:rsid w:val="39860848"/>
    <w:rsid w:val="39884C68"/>
    <w:rsid w:val="399D60E4"/>
    <w:rsid w:val="39AA29DA"/>
    <w:rsid w:val="39C203DB"/>
    <w:rsid w:val="39E601F8"/>
    <w:rsid w:val="39EF5414"/>
    <w:rsid w:val="39F2755C"/>
    <w:rsid w:val="39FD367E"/>
    <w:rsid w:val="3A0D215C"/>
    <w:rsid w:val="3A0F1C0A"/>
    <w:rsid w:val="3A191FB3"/>
    <w:rsid w:val="3A323E9A"/>
    <w:rsid w:val="3A4D75DB"/>
    <w:rsid w:val="3A526807"/>
    <w:rsid w:val="3A532CA7"/>
    <w:rsid w:val="3A58574E"/>
    <w:rsid w:val="3A6175AF"/>
    <w:rsid w:val="3A6A56FC"/>
    <w:rsid w:val="3A810175"/>
    <w:rsid w:val="3A890E3F"/>
    <w:rsid w:val="3A8922DA"/>
    <w:rsid w:val="3A963E1C"/>
    <w:rsid w:val="3A986C86"/>
    <w:rsid w:val="3A9D5383"/>
    <w:rsid w:val="3AB85C0A"/>
    <w:rsid w:val="3AB94C7E"/>
    <w:rsid w:val="3AD40C92"/>
    <w:rsid w:val="3AE6339B"/>
    <w:rsid w:val="3AEE6678"/>
    <w:rsid w:val="3AFB0399"/>
    <w:rsid w:val="3B0023E8"/>
    <w:rsid w:val="3B0C576A"/>
    <w:rsid w:val="3B274F17"/>
    <w:rsid w:val="3B2A6B6F"/>
    <w:rsid w:val="3B311830"/>
    <w:rsid w:val="3B3A4F57"/>
    <w:rsid w:val="3B3A7EE0"/>
    <w:rsid w:val="3B4422E8"/>
    <w:rsid w:val="3B447106"/>
    <w:rsid w:val="3B6C414C"/>
    <w:rsid w:val="3B73382E"/>
    <w:rsid w:val="3B8662B0"/>
    <w:rsid w:val="3B8D417F"/>
    <w:rsid w:val="3B940BBA"/>
    <w:rsid w:val="3B9C51AC"/>
    <w:rsid w:val="3BA63849"/>
    <w:rsid w:val="3BBA3EDF"/>
    <w:rsid w:val="3BBE7A44"/>
    <w:rsid w:val="3BC15FAF"/>
    <w:rsid w:val="3BCF4C09"/>
    <w:rsid w:val="3BD90CBF"/>
    <w:rsid w:val="3BDE531C"/>
    <w:rsid w:val="3BDE6E8D"/>
    <w:rsid w:val="3BE3310D"/>
    <w:rsid w:val="3BF03020"/>
    <w:rsid w:val="3BF474A0"/>
    <w:rsid w:val="3BF647A8"/>
    <w:rsid w:val="3BF947C6"/>
    <w:rsid w:val="3BFB45AA"/>
    <w:rsid w:val="3C0B32C7"/>
    <w:rsid w:val="3C101FB2"/>
    <w:rsid w:val="3C141EF4"/>
    <w:rsid w:val="3C2C45FF"/>
    <w:rsid w:val="3C3062B1"/>
    <w:rsid w:val="3C340918"/>
    <w:rsid w:val="3C4B1266"/>
    <w:rsid w:val="3C4D1E9A"/>
    <w:rsid w:val="3C536F45"/>
    <w:rsid w:val="3C5D698E"/>
    <w:rsid w:val="3C816674"/>
    <w:rsid w:val="3C837669"/>
    <w:rsid w:val="3C8B0A00"/>
    <w:rsid w:val="3CB20674"/>
    <w:rsid w:val="3CBC2F72"/>
    <w:rsid w:val="3CE33DAB"/>
    <w:rsid w:val="3CE402F5"/>
    <w:rsid w:val="3CF9243D"/>
    <w:rsid w:val="3CFC5802"/>
    <w:rsid w:val="3D0F647E"/>
    <w:rsid w:val="3D1A706D"/>
    <w:rsid w:val="3D3A4960"/>
    <w:rsid w:val="3D814713"/>
    <w:rsid w:val="3D9A71C7"/>
    <w:rsid w:val="3D9C1A9F"/>
    <w:rsid w:val="3D9E0AFA"/>
    <w:rsid w:val="3DA14F0D"/>
    <w:rsid w:val="3DC24C8F"/>
    <w:rsid w:val="3DD37B53"/>
    <w:rsid w:val="3DE06B1D"/>
    <w:rsid w:val="3DE6636B"/>
    <w:rsid w:val="3DE83A38"/>
    <w:rsid w:val="3DEB2486"/>
    <w:rsid w:val="3DEC03E6"/>
    <w:rsid w:val="3DF82102"/>
    <w:rsid w:val="3DFA64D0"/>
    <w:rsid w:val="3E0D4BC8"/>
    <w:rsid w:val="3E151F4C"/>
    <w:rsid w:val="3E1E1640"/>
    <w:rsid w:val="3E2519E1"/>
    <w:rsid w:val="3E261B4C"/>
    <w:rsid w:val="3E4306C7"/>
    <w:rsid w:val="3E4E54CC"/>
    <w:rsid w:val="3E622282"/>
    <w:rsid w:val="3E700419"/>
    <w:rsid w:val="3E811AE0"/>
    <w:rsid w:val="3E8317DF"/>
    <w:rsid w:val="3E8610B8"/>
    <w:rsid w:val="3E883CCB"/>
    <w:rsid w:val="3EA04D2D"/>
    <w:rsid w:val="3EB23F45"/>
    <w:rsid w:val="3EB45BDF"/>
    <w:rsid w:val="3EB94F96"/>
    <w:rsid w:val="3EC74A0D"/>
    <w:rsid w:val="3ED033BC"/>
    <w:rsid w:val="3EDF4CB9"/>
    <w:rsid w:val="3F096AD8"/>
    <w:rsid w:val="3F0E4AA7"/>
    <w:rsid w:val="3F1D1FCC"/>
    <w:rsid w:val="3F2610A0"/>
    <w:rsid w:val="3F27456A"/>
    <w:rsid w:val="3F2B2E33"/>
    <w:rsid w:val="3F2E427C"/>
    <w:rsid w:val="3F2F66E9"/>
    <w:rsid w:val="3F322E39"/>
    <w:rsid w:val="3F390BB5"/>
    <w:rsid w:val="3F5F68C7"/>
    <w:rsid w:val="3F714A10"/>
    <w:rsid w:val="3F881F15"/>
    <w:rsid w:val="3F8D754C"/>
    <w:rsid w:val="3FB378BB"/>
    <w:rsid w:val="3FBC41E1"/>
    <w:rsid w:val="3FBC7295"/>
    <w:rsid w:val="3FC42A3E"/>
    <w:rsid w:val="3FD1213C"/>
    <w:rsid w:val="3FE31D82"/>
    <w:rsid w:val="3FEE7226"/>
    <w:rsid w:val="3FF268FF"/>
    <w:rsid w:val="3FF52E3B"/>
    <w:rsid w:val="3FF60A01"/>
    <w:rsid w:val="3FF644F9"/>
    <w:rsid w:val="3FFC534D"/>
    <w:rsid w:val="3FFF720E"/>
    <w:rsid w:val="4020026D"/>
    <w:rsid w:val="402A166B"/>
    <w:rsid w:val="402D3364"/>
    <w:rsid w:val="40352089"/>
    <w:rsid w:val="40433886"/>
    <w:rsid w:val="404515E1"/>
    <w:rsid w:val="404829BD"/>
    <w:rsid w:val="40543C01"/>
    <w:rsid w:val="40722C36"/>
    <w:rsid w:val="40737DC3"/>
    <w:rsid w:val="40793B1F"/>
    <w:rsid w:val="40976F71"/>
    <w:rsid w:val="40981061"/>
    <w:rsid w:val="409A0394"/>
    <w:rsid w:val="40A33ECA"/>
    <w:rsid w:val="40DC025B"/>
    <w:rsid w:val="40E03BEA"/>
    <w:rsid w:val="40E13357"/>
    <w:rsid w:val="40ED2A87"/>
    <w:rsid w:val="40FD5F9C"/>
    <w:rsid w:val="41054C4F"/>
    <w:rsid w:val="41071C3C"/>
    <w:rsid w:val="4110485F"/>
    <w:rsid w:val="41225E28"/>
    <w:rsid w:val="41311F7D"/>
    <w:rsid w:val="41347CB9"/>
    <w:rsid w:val="413A7FA0"/>
    <w:rsid w:val="414A1A84"/>
    <w:rsid w:val="416370E6"/>
    <w:rsid w:val="416431B2"/>
    <w:rsid w:val="416831CB"/>
    <w:rsid w:val="417518B6"/>
    <w:rsid w:val="41794D64"/>
    <w:rsid w:val="41815267"/>
    <w:rsid w:val="41913E4C"/>
    <w:rsid w:val="419E41FD"/>
    <w:rsid w:val="41BD00BD"/>
    <w:rsid w:val="41C0758B"/>
    <w:rsid w:val="41C1720A"/>
    <w:rsid w:val="41C851E7"/>
    <w:rsid w:val="41C94DFD"/>
    <w:rsid w:val="41DF7E68"/>
    <w:rsid w:val="41E8711F"/>
    <w:rsid w:val="41ED12AA"/>
    <w:rsid w:val="41F45B16"/>
    <w:rsid w:val="420B22E0"/>
    <w:rsid w:val="421B0DE4"/>
    <w:rsid w:val="422412C9"/>
    <w:rsid w:val="422977E2"/>
    <w:rsid w:val="423B6BAC"/>
    <w:rsid w:val="424E0837"/>
    <w:rsid w:val="425E2499"/>
    <w:rsid w:val="42805B2C"/>
    <w:rsid w:val="429016DA"/>
    <w:rsid w:val="42AF35EC"/>
    <w:rsid w:val="42BB718B"/>
    <w:rsid w:val="42C279F3"/>
    <w:rsid w:val="42DC7FA5"/>
    <w:rsid w:val="42E23A23"/>
    <w:rsid w:val="42EE08A0"/>
    <w:rsid w:val="42F16AFC"/>
    <w:rsid w:val="42F8391A"/>
    <w:rsid w:val="42FF2220"/>
    <w:rsid w:val="43002024"/>
    <w:rsid w:val="432804A2"/>
    <w:rsid w:val="43397F9C"/>
    <w:rsid w:val="43477A97"/>
    <w:rsid w:val="43552C4C"/>
    <w:rsid w:val="43606EE8"/>
    <w:rsid w:val="4368255F"/>
    <w:rsid w:val="43721529"/>
    <w:rsid w:val="437639B1"/>
    <w:rsid w:val="43A0240C"/>
    <w:rsid w:val="43A6157B"/>
    <w:rsid w:val="43CD2A6A"/>
    <w:rsid w:val="43D34484"/>
    <w:rsid w:val="43D97BA5"/>
    <w:rsid w:val="43DA1DDA"/>
    <w:rsid w:val="43E375FA"/>
    <w:rsid w:val="43ED27F4"/>
    <w:rsid w:val="44066AEE"/>
    <w:rsid w:val="44183651"/>
    <w:rsid w:val="44187083"/>
    <w:rsid w:val="442F23EA"/>
    <w:rsid w:val="44387B6B"/>
    <w:rsid w:val="44547449"/>
    <w:rsid w:val="445C39B2"/>
    <w:rsid w:val="446813A6"/>
    <w:rsid w:val="448A2EBB"/>
    <w:rsid w:val="44905E4F"/>
    <w:rsid w:val="449A3AB4"/>
    <w:rsid w:val="44A029E6"/>
    <w:rsid w:val="44A02C22"/>
    <w:rsid w:val="44B24162"/>
    <w:rsid w:val="44B25954"/>
    <w:rsid w:val="44B353F1"/>
    <w:rsid w:val="44B57ECA"/>
    <w:rsid w:val="44C70D28"/>
    <w:rsid w:val="44CC3F3A"/>
    <w:rsid w:val="44D90609"/>
    <w:rsid w:val="44DC174D"/>
    <w:rsid w:val="44E43637"/>
    <w:rsid w:val="44E564CC"/>
    <w:rsid w:val="44E90B43"/>
    <w:rsid w:val="44ED3080"/>
    <w:rsid w:val="45100193"/>
    <w:rsid w:val="451B4B19"/>
    <w:rsid w:val="451B643C"/>
    <w:rsid w:val="452E317F"/>
    <w:rsid w:val="453424C2"/>
    <w:rsid w:val="45400BC0"/>
    <w:rsid w:val="454A6AA8"/>
    <w:rsid w:val="457A7DF9"/>
    <w:rsid w:val="457F1218"/>
    <w:rsid w:val="45804ABC"/>
    <w:rsid w:val="4592722D"/>
    <w:rsid w:val="45947A5E"/>
    <w:rsid w:val="45986ACE"/>
    <w:rsid w:val="459B11C2"/>
    <w:rsid w:val="459C30AC"/>
    <w:rsid w:val="45A240C0"/>
    <w:rsid w:val="45B548B9"/>
    <w:rsid w:val="45C02BA7"/>
    <w:rsid w:val="45C513D8"/>
    <w:rsid w:val="45C85787"/>
    <w:rsid w:val="45CD39B6"/>
    <w:rsid w:val="45D077D4"/>
    <w:rsid w:val="45D804F3"/>
    <w:rsid w:val="45E54DCE"/>
    <w:rsid w:val="4607528C"/>
    <w:rsid w:val="46080E30"/>
    <w:rsid w:val="46264080"/>
    <w:rsid w:val="46303BED"/>
    <w:rsid w:val="46310CC3"/>
    <w:rsid w:val="4642015D"/>
    <w:rsid w:val="46464040"/>
    <w:rsid w:val="46B2350F"/>
    <w:rsid w:val="46B62027"/>
    <w:rsid w:val="46B9378E"/>
    <w:rsid w:val="46BE38F9"/>
    <w:rsid w:val="46C30C73"/>
    <w:rsid w:val="46C86EBD"/>
    <w:rsid w:val="46C9461B"/>
    <w:rsid w:val="46F22FE0"/>
    <w:rsid w:val="46F73319"/>
    <w:rsid w:val="46FA7D9D"/>
    <w:rsid w:val="470353E8"/>
    <w:rsid w:val="470B3C00"/>
    <w:rsid w:val="473A6481"/>
    <w:rsid w:val="474642EB"/>
    <w:rsid w:val="474B171C"/>
    <w:rsid w:val="47525C7E"/>
    <w:rsid w:val="47667359"/>
    <w:rsid w:val="47706C47"/>
    <w:rsid w:val="477A66C7"/>
    <w:rsid w:val="479223D3"/>
    <w:rsid w:val="47986AF6"/>
    <w:rsid w:val="47A961C6"/>
    <w:rsid w:val="47AC10D3"/>
    <w:rsid w:val="47B315BA"/>
    <w:rsid w:val="47B3302F"/>
    <w:rsid w:val="47BA7E67"/>
    <w:rsid w:val="47F76470"/>
    <w:rsid w:val="48052A48"/>
    <w:rsid w:val="482115C2"/>
    <w:rsid w:val="48276360"/>
    <w:rsid w:val="48340765"/>
    <w:rsid w:val="48363525"/>
    <w:rsid w:val="485910CA"/>
    <w:rsid w:val="485C32AD"/>
    <w:rsid w:val="486C68F9"/>
    <w:rsid w:val="486E3D48"/>
    <w:rsid w:val="487E02E7"/>
    <w:rsid w:val="48873779"/>
    <w:rsid w:val="48940F89"/>
    <w:rsid w:val="48A26C6C"/>
    <w:rsid w:val="48AF38D0"/>
    <w:rsid w:val="48B84574"/>
    <w:rsid w:val="48BB6A1B"/>
    <w:rsid w:val="48D66CA0"/>
    <w:rsid w:val="48DE155D"/>
    <w:rsid w:val="48EC74BA"/>
    <w:rsid w:val="48F15DFA"/>
    <w:rsid w:val="491444D0"/>
    <w:rsid w:val="491A27B4"/>
    <w:rsid w:val="49217162"/>
    <w:rsid w:val="492C6E96"/>
    <w:rsid w:val="4939735D"/>
    <w:rsid w:val="4946496C"/>
    <w:rsid w:val="4950642B"/>
    <w:rsid w:val="49546ABC"/>
    <w:rsid w:val="49623251"/>
    <w:rsid w:val="49760A60"/>
    <w:rsid w:val="497870AA"/>
    <w:rsid w:val="49871008"/>
    <w:rsid w:val="49925B21"/>
    <w:rsid w:val="49B3327B"/>
    <w:rsid w:val="49B80030"/>
    <w:rsid w:val="49D03A99"/>
    <w:rsid w:val="49D27044"/>
    <w:rsid w:val="49FA00B5"/>
    <w:rsid w:val="4A125FD0"/>
    <w:rsid w:val="4A1D6721"/>
    <w:rsid w:val="4A3B22F0"/>
    <w:rsid w:val="4A4159F7"/>
    <w:rsid w:val="4A50773D"/>
    <w:rsid w:val="4A5F6435"/>
    <w:rsid w:val="4A870A21"/>
    <w:rsid w:val="4A8F4074"/>
    <w:rsid w:val="4A9455DF"/>
    <w:rsid w:val="4A9F3553"/>
    <w:rsid w:val="4AAE33D4"/>
    <w:rsid w:val="4ABE3D01"/>
    <w:rsid w:val="4AC2746E"/>
    <w:rsid w:val="4AC6435A"/>
    <w:rsid w:val="4AC66241"/>
    <w:rsid w:val="4AC70B11"/>
    <w:rsid w:val="4ACA380C"/>
    <w:rsid w:val="4AD41EBE"/>
    <w:rsid w:val="4AE271C7"/>
    <w:rsid w:val="4AE91592"/>
    <w:rsid w:val="4AF733EF"/>
    <w:rsid w:val="4B02722E"/>
    <w:rsid w:val="4B095D7F"/>
    <w:rsid w:val="4B0F7302"/>
    <w:rsid w:val="4B1955C4"/>
    <w:rsid w:val="4B283656"/>
    <w:rsid w:val="4B2A5E61"/>
    <w:rsid w:val="4B392A6F"/>
    <w:rsid w:val="4B3B7EF9"/>
    <w:rsid w:val="4B3E3C9E"/>
    <w:rsid w:val="4B40712D"/>
    <w:rsid w:val="4B4A3500"/>
    <w:rsid w:val="4B516045"/>
    <w:rsid w:val="4B5A73D8"/>
    <w:rsid w:val="4B7E1EBA"/>
    <w:rsid w:val="4B811BB5"/>
    <w:rsid w:val="4B9B03C5"/>
    <w:rsid w:val="4BA74D6D"/>
    <w:rsid w:val="4BAC19DC"/>
    <w:rsid w:val="4BB8039B"/>
    <w:rsid w:val="4BE118E0"/>
    <w:rsid w:val="4BE9574E"/>
    <w:rsid w:val="4BEE1B3C"/>
    <w:rsid w:val="4BFE6F1D"/>
    <w:rsid w:val="4C1A535D"/>
    <w:rsid w:val="4C1B0872"/>
    <w:rsid w:val="4C1D4380"/>
    <w:rsid w:val="4C2941CA"/>
    <w:rsid w:val="4C307F02"/>
    <w:rsid w:val="4C310DE1"/>
    <w:rsid w:val="4C434AF6"/>
    <w:rsid w:val="4C5E0A37"/>
    <w:rsid w:val="4C6850E1"/>
    <w:rsid w:val="4C6D78D8"/>
    <w:rsid w:val="4C720F36"/>
    <w:rsid w:val="4C77426A"/>
    <w:rsid w:val="4C786B0A"/>
    <w:rsid w:val="4C844F21"/>
    <w:rsid w:val="4C8C7123"/>
    <w:rsid w:val="4C9209E9"/>
    <w:rsid w:val="4CA23850"/>
    <w:rsid w:val="4CBA6EF2"/>
    <w:rsid w:val="4CD46532"/>
    <w:rsid w:val="4CD73856"/>
    <w:rsid w:val="4CD841F0"/>
    <w:rsid w:val="4CD87782"/>
    <w:rsid w:val="4CE6556A"/>
    <w:rsid w:val="4CF23455"/>
    <w:rsid w:val="4CF2778F"/>
    <w:rsid w:val="4CF37D19"/>
    <w:rsid w:val="4CF76CE2"/>
    <w:rsid w:val="4D0A24D1"/>
    <w:rsid w:val="4D0D65F9"/>
    <w:rsid w:val="4D171694"/>
    <w:rsid w:val="4D1C01E1"/>
    <w:rsid w:val="4D1D0CE0"/>
    <w:rsid w:val="4D21105D"/>
    <w:rsid w:val="4D2867F3"/>
    <w:rsid w:val="4D2D702C"/>
    <w:rsid w:val="4D3B4085"/>
    <w:rsid w:val="4D434CA6"/>
    <w:rsid w:val="4D46291D"/>
    <w:rsid w:val="4D525DAE"/>
    <w:rsid w:val="4D5B7F70"/>
    <w:rsid w:val="4D600568"/>
    <w:rsid w:val="4D6E4463"/>
    <w:rsid w:val="4D776DC3"/>
    <w:rsid w:val="4D781B23"/>
    <w:rsid w:val="4D7C556B"/>
    <w:rsid w:val="4D814D3B"/>
    <w:rsid w:val="4D8262E8"/>
    <w:rsid w:val="4D9E6B94"/>
    <w:rsid w:val="4DA356F9"/>
    <w:rsid w:val="4DAD6CBF"/>
    <w:rsid w:val="4DBF6795"/>
    <w:rsid w:val="4DF70B53"/>
    <w:rsid w:val="4DFD3850"/>
    <w:rsid w:val="4E184F5A"/>
    <w:rsid w:val="4E2E3CA5"/>
    <w:rsid w:val="4E4E54E2"/>
    <w:rsid w:val="4E523D5B"/>
    <w:rsid w:val="4E5F436C"/>
    <w:rsid w:val="4E666232"/>
    <w:rsid w:val="4E702FAD"/>
    <w:rsid w:val="4E742E26"/>
    <w:rsid w:val="4E793FD7"/>
    <w:rsid w:val="4E7E7563"/>
    <w:rsid w:val="4E9E419B"/>
    <w:rsid w:val="4ECF08DB"/>
    <w:rsid w:val="4EEF6956"/>
    <w:rsid w:val="4EF10F50"/>
    <w:rsid w:val="4EF162D7"/>
    <w:rsid w:val="4EFA63EC"/>
    <w:rsid w:val="4F0765C7"/>
    <w:rsid w:val="4F183F74"/>
    <w:rsid w:val="4F1B4240"/>
    <w:rsid w:val="4F1F1FCE"/>
    <w:rsid w:val="4F280575"/>
    <w:rsid w:val="4F36706B"/>
    <w:rsid w:val="4F4C60DE"/>
    <w:rsid w:val="4F4E3230"/>
    <w:rsid w:val="4F5A7968"/>
    <w:rsid w:val="4F5B1C3D"/>
    <w:rsid w:val="4F6026EA"/>
    <w:rsid w:val="4F7933F9"/>
    <w:rsid w:val="4F8678B9"/>
    <w:rsid w:val="4F8F2829"/>
    <w:rsid w:val="4F985F42"/>
    <w:rsid w:val="4FA50BD6"/>
    <w:rsid w:val="4FB62175"/>
    <w:rsid w:val="4FC06171"/>
    <w:rsid w:val="4FC5365A"/>
    <w:rsid w:val="4FCC0EB9"/>
    <w:rsid w:val="4FE36580"/>
    <w:rsid w:val="4FE80051"/>
    <w:rsid w:val="4FED4BEC"/>
    <w:rsid w:val="500720F3"/>
    <w:rsid w:val="50084D2E"/>
    <w:rsid w:val="50151414"/>
    <w:rsid w:val="50263AA7"/>
    <w:rsid w:val="503839AD"/>
    <w:rsid w:val="50464842"/>
    <w:rsid w:val="50573316"/>
    <w:rsid w:val="505F5590"/>
    <w:rsid w:val="506703D4"/>
    <w:rsid w:val="50792974"/>
    <w:rsid w:val="509B04F0"/>
    <w:rsid w:val="509C5947"/>
    <w:rsid w:val="50C46433"/>
    <w:rsid w:val="50C515FE"/>
    <w:rsid w:val="50CA1F64"/>
    <w:rsid w:val="50D21997"/>
    <w:rsid w:val="50D540CE"/>
    <w:rsid w:val="50E03B1A"/>
    <w:rsid w:val="511176B7"/>
    <w:rsid w:val="511364D4"/>
    <w:rsid w:val="51175815"/>
    <w:rsid w:val="5124788D"/>
    <w:rsid w:val="512F4B55"/>
    <w:rsid w:val="5141387C"/>
    <w:rsid w:val="51457246"/>
    <w:rsid w:val="514B7A40"/>
    <w:rsid w:val="515D62F6"/>
    <w:rsid w:val="515F7EA6"/>
    <w:rsid w:val="51654AF5"/>
    <w:rsid w:val="516774DC"/>
    <w:rsid w:val="517106E4"/>
    <w:rsid w:val="517B5B8A"/>
    <w:rsid w:val="517D1C73"/>
    <w:rsid w:val="517E6F38"/>
    <w:rsid w:val="51826C8A"/>
    <w:rsid w:val="51833B38"/>
    <w:rsid w:val="5186439F"/>
    <w:rsid w:val="51887C28"/>
    <w:rsid w:val="519E6F9B"/>
    <w:rsid w:val="51A07B6A"/>
    <w:rsid w:val="51AB5F82"/>
    <w:rsid w:val="51B33439"/>
    <w:rsid w:val="51C170CF"/>
    <w:rsid w:val="51DF1C17"/>
    <w:rsid w:val="51E87A23"/>
    <w:rsid w:val="51EE068B"/>
    <w:rsid w:val="51F051E2"/>
    <w:rsid w:val="51F25498"/>
    <w:rsid w:val="52030425"/>
    <w:rsid w:val="520363BE"/>
    <w:rsid w:val="520E7D84"/>
    <w:rsid w:val="5210435E"/>
    <w:rsid w:val="52175A3A"/>
    <w:rsid w:val="521903F2"/>
    <w:rsid w:val="522D2E8B"/>
    <w:rsid w:val="522E6275"/>
    <w:rsid w:val="52324D19"/>
    <w:rsid w:val="524543F0"/>
    <w:rsid w:val="52463294"/>
    <w:rsid w:val="52473222"/>
    <w:rsid w:val="524C1ED0"/>
    <w:rsid w:val="525F4767"/>
    <w:rsid w:val="52644D63"/>
    <w:rsid w:val="526D3764"/>
    <w:rsid w:val="52733E63"/>
    <w:rsid w:val="527A6198"/>
    <w:rsid w:val="527E071D"/>
    <w:rsid w:val="528B7EE4"/>
    <w:rsid w:val="52905523"/>
    <w:rsid w:val="52917202"/>
    <w:rsid w:val="52974707"/>
    <w:rsid w:val="529E29B3"/>
    <w:rsid w:val="52A27619"/>
    <w:rsid w:val="52A65E42"/>
    <w:rsid w:val="52AB0471"/>
    <w:rsid w:val="52AE380A"/>
    <w:rsid w:val="52BC5B26"/>
    <w:rsid w:val="52C055CC"/>
    <w:rsid w:val="52C90AF4"/>
    <w:rsid w:val="52C951D3"/>
    <w:rsid w:val="52D271FE"/>
    <w:rsid w:val="52DB6FB3"/>
    <w:rsid w:val="52F6129D"/>
    <w:rsid w:val="530D42FC"/>
    <w:rsid w:val="532A2CA5"/>
    <w:rsid w:val="533C141C"/>
    <w:rsid w:val="5342345C"/>
    <w:rsid w:val="534701F9"/>
    <w:rsid w:val="5347639A"/>
    <w:rsid w:val="534E4739"/>
    <w:rsid w:val="53611DE1"/>
    <w:rsid w:val="53627516"/>
    <w:rsid w:val="536D7664"/>
    <w:rsid w:val="53846EBB"/>
    <w:rsid w:val="5387709E"/>
    <w:rsid w:val="53944D76"/>
    <w:rsid w:val="5395469F"/>
    <w:rsid w:val="53976DBB"/>
    <w:rsid w:val="53A46E62"/>
    <w:rsid w:val="53BB50E3"/>
    <w:rsid w:val="53C548B5"/>
    <w:rsid w:val="53C620AB"/>
    <w:rsid w:val="53C87335"/>
    <w:rsid w:val="53CE394C"/>
    <w:rsid w:val="53E1498E"/>
    <w:rsid w:val="53E72C1B"/>
    <w:rsid w:val="53F00528"/>
    <w:rsid w:val="53FE59FD"/>
    <w:rsid w:val="540934CB"/>
    <w:rsid w:val="540B5F73"/>
    <w:rsid w:val="540D2DB1"/>
    <w:rsid w:val="541078BB"/>
    <w:rsid w:val="541452DD"/>
    <w:rsid w:val="542B01CC"/>
    <w:rsid w:val="545818DC"/>
    <w:rsid w:val="545D265B"/>
    <w:rsid w:val="54755FCF"/>
    <w:rsid w:val="54796DB6"/>
    <w:rsid w:val="54832891"/>
    <w:rsid w:val="54962350"/>
    <w:rsid w:val="5496739F"/>
    <w:rsid w:val="54BA4F62"/>
    <w:rsid w:val="54D023C7"/>
    <w:rsid w:val="54E54C82"/>
    <w:rsid w:val="54ED01A4"/>
    <w:rsid w:val="54F90984"/>
    <w:rsid w:val="54FB7A82"/>
    <w:rsid w:val="55090316"/>
    <w:rsid w:val="55093E22"/>
    <w:rsid w:val="550B6D2D"/>
    <w:rsid w:val="55160047"/>
    <w:rsid w:val="55170F36"/>
    <w:rsid w:val="552A4387"/>
    <w:rsid w:val="553779C7"/>
    <w:rsid w:val="5572224B"/>
    <w:rsid w:val="558F42FA"/>
    <w:rsid w:val="55921C54"/>
    <w:rsid w:val="559B1B42"/>
    <w:rsid w:val="559D7F69"/>
    <w:rsid w:val="55A67C60"/>
    <w:rsid w:val="55A83301"/>
    <w:rsid w:val="55CB1CAC"/>
    <w:rsid w:val="55D87CCC"/>
    <w:rsid w:val="55E6600B"/>
    <w:rsid w:val="55E724EF"/>
    <w:rsid w:val="55EE45E5"/>
    <w:rsid w:val="55F06AD7"/>
    <w:rsid w:val="55F549DB"/>
    <w:rsid w:val="55FD3919"/>
    <w:rsid w:val="560E4C3B"/>
    <w:rsid w:val="561373FD"/>
    <w:rsid w:val="56193D4F"/>
    <w:rsid w:val="56216989"/>
    <w:rsid w:val="563A00F5"/>
    <w:rsid w:val="563C653C"/>
    <w:rsid w:val="56470A1E"/>
    <w:rsid w:val="56480D8B"/>
    <w:rsid w:val="56587F76"/>
    <w:rsid w:val="565C7AEB"/>
    <w:rsid w:val="56674043"/>
    <w:rsid w:val="567151CC"/>
    <w:rsid w:val="568F780E"/>
    <w:rsid w:val="569455B9"/>
    <w:rsid w:val="569905E0"/>
    <w:rsid w:val="569E2903"/>
    <w:rsid w:val="56A16F5C"/>
    <w:rsid w:val="56A77B0A"/>
    <w:rsid w:val="56B377CC"/>
    <w:rsid w:val="56B50793"/>
    <w:rsid w:val="56D42BF7"/>
    <w:rsid w:val="56DC24E9"/>
    <w:rsid w:val="56DC7D13"/>
    <w:rsid w:val="56E65609"/>
    <w:rsid w:val="56F93CF6"/>
    <w:rsid w:val="57157D7B"/>
    <w:rsid w:val="571904E9"/>
    <w:rsid w:val="57211E57"/>
    <w:rsid w:val="57224E5B"/>
    <w:rsid w:val="57263B9F"/>
    <w:rsid w:val="5732714E"/>
    <w:rsid w:val="57455556"/>
    <w:rsid w:val="57505C01"/>
    <w:rsid w:val="57594198"/>
    <w:rsid w:val="575A2551"/>
    <w:rsid w:val="5772015C"/>
    <w:rsid w:val="577737EB"/>
    <w:rsid w:val="577838C7"/>
    <w:rsid w:val="5789721E"/>
    <w:rsid w:val="57A03CB7"/>
    <w:rsid w:val="57AA2842"/>
    <w:rsid w:val="57AF1DC9"/>
    <w:rsid w:val="57B7535A"/>
    <w:rsid w:val="57C82BAB"/>
    <w:rsid w:val="57DE63D0"/>
    <w:rsid w:val="57E6526A"/>
    <w:rsid w:val="57F85283"/>
    <w:rsid w:val="57F86A47"/>
    <w:rsid w:val="57F901AF"/>
    <w:rsid w:val="57F9642A"/>
    <w:rsid w:val="581669AF"/>
    <w:rsid w:val="582A6F6D"/>
    <w:rsid w:val="582B2F6A"/>
    <w:rsid w:val="583802C3"/>
    <w:rsid w:val="587A6FFD"/>
    <w:rsid w:val="58873E4D"/>
    <w:rsid w:val="58881176"/>
    <w:rsid w:val="588B1AD1"/>
    <w:rsid w:val="58934585"/>
    <w:rsid w:val="589457E6"/>
    <w:rsid w:val="589474FC"/>
    <w:rsid w:val="58AE3415"/>
    <w:rsid w:val="58D10224"/>
    <w:rsid w:val="58D64988"/>
    <w:rsid w:val="58D95370"/>
    <w:rsid w:val="58E25E07"/>
    <w:rsid w:val="58E743A4"/>
    <w:rsid w:val="58EA3759"/>
    <w:rsid w:val="58ED6AC7"/>
    <w:rsid w:val="58F60BF8"/>
    <w:rsid w:val="5908601B"/>
    <w:rsid w:val="59104FFB"/>
    <w:rsid w:val="594A1C1F"/>
    <w:rsid w:val="594B6E4B"/>
    <w:rsid w:val="594E4643"/>
    <w:rsid w:val="595106CA"/>
    <w:rsid w:val="59532A0D"/>
    <w:rsid w:val="5954755D"/>
    <w:rsid w:val="596E497E"/>
    <w:rsid w:val="59777188"/>
    <w:rsid w:val="597A1A42"/>
    <w:rsid w:val="59826013"/>
    <w:rsid w:val="598C2EE8"/>
    <w:rsid w:val="598E2BDA"/>
    <w:rsid w:val="59900F9B"/>
    <w:rsid w:val="59A37626"/>
    <w:rsid w:val="59A73D03"/>
    <w:rsid w:val="59A96D11"/>
    <w:rsid w:val="59B46283"/>
    <w:rsid w:val="59DB2F9C"/>
    <w:rsid w:val="59E268FB"/>
    <w:rsid w:val="59EF438D"/>
    <w:rsid w:val="59F43F0D"/>
    <w:rsid w:val="5A04350A"/>
    <w:rsid w:val="5A082B87"/>
    <w:rsid w:val="5A0D6A16"/>
    <w:rsid w:val="5A137CEB"/>
    <w:rsid w:val="5A1E32FB"/>
    <w:rsid w:val="5A2A6F19"/>
    <w:rsid w:val="5A2B68D2"/>
    <w:rsid w:val="5A2E3CE7"/>
    <w:rsid w:val="5A326865"/>
    <w:rsid w:val="5A3D0457"/>
    <w:rsid w:val="5A460A5D"/>
    <w:rsid w:val="5A4D110B"/>
    <w:rsid w:val="5A500D79"/>
    <w:rsid w:val="5A6C10DC"/>
    <w:rsid w:val="5A786A7F"/>
    <w:rsid w:val="5A794098"/>
    <w:rsid w:val="5A873736"/>
    <w:rsid w:val="5A8813AE"/>
    <w:rsid w:val="5A996563"/>
    <w:rsid w:val="5A9E53C1"/>
    <w:rsid w:val="5A9F1207"/>
    <w:rsid w:val="5AB14A31"/>
    <w:rsid w:val="5AB5633F"/>
    <w:rsid w:val="5AB6213B"/>
    <w:rsid w:val="5ADB234C"/>
    <w:rsid w:val="5AF00614"/>
    <w:rsid w:val="5AF11079"/>
    <w:rsid w:val="5AFB28C7"/>
    <w:rsid w:val="5AFE6F0B"/>
    <w:rsid w:val="5B006684"/>
    <w:rsid w:val="5B09407A"/>
    <w:rsid w:val="5B0C41DC"/>
    <w:rsid w:val="5B147DD7"/>
    <w:rsid w:val="5B242100"/>
    <w:rsid w:val="5B2E7EB2"/>
    <w:rsid w:val="5B3315DA"/>
    <w:rsid w:val="5B403041"/>
    <w:rsid w:val="5B506AC3"/>
    <w:rsid w:val="5B5A3E4E"/>
    <w:rsid w:val="5B626F68"/>
    <w:rsid w:val="5B6A5872"/>
    <w:rsid w:val="5B702F12"/>
    <w:rsid w:val="5B7979DB"/>
    <w:rsid w:val="5BB52970"/>
    <w:rsid w:val="5BC53760"/>
    <w:rsid w:val="5BD530C5"/>
    <w:rsid w:val="5BFA1654"/>
    <w:rsid w:val="5C1C410E"/>
    <w:rsid w:val="5C24342B"/>
    <w:rsid w:val="5C2F7B0C"/>
    <w:rsid w:val="5C370C3D"/>
    <w:rsid w:val="5C3A3FAF"/>
    <w:rsid w:val="5C3D01F5"/>
    <w:rsid w:val="5C691BBE"/>
    <w:rsid w:val="5C7171FB"/>
    <w:rsid w:val="5C830DC2"/>
    <w:rsid w:val="5C9B2449"/>
    <w:rsid w:val="5C9E7AFC"/>
    <w:rsid w:val="5CB00B08"/>
    <w:rsid w:val="5CB37FC1"/>
    <w:rsid w:val="5CB92A4C"/>
    <w:rsid w:val="5CBA69D3"/>
    <w:rsid w:val="5CC31175"/>
    <w:rsid w:val="5CCC2C10"/>
    <w:rsid w:val="5CD03A5B"/>
    <w:rsid w:val="5CD41AA0"/>
    <w:rsid w:val="5CD64E88"/>
    <w:rsid w:val="5CF06106"/>
    <w:rsid w:val="5D002075"/>
    <w:rsid w:val="5D041DC0"/>
    <w:rsid w:val="5D092547"/>
    <w:rsid w:val="5D155469"/>
    <w:rsid w:val="5D1B08E2"/>
    <w:rsid w:val="5D1B79E4"/>
    <w:rsid w:val="5D247070"/>
    <w:rsid w:val="5D2E70CD"/>
    <w:rsid w:val="5D386A39"/>
    <w:rsid w:val="5D49262C"/>
    <w:rsid w:val="5D4A1342"/>
    <w:rsid w:val="5D597BAB"/>
    <w:rsid w:val="5D602867"/>
    <w:rsid w:val="5D694FEA"/>
    <w:rsid w:val="5D6A5A41"/>
    <w:rsid w:val="5D7143B3"/>
    <w:rsid w:val="5D906EFD"/>
    <w:rsid w:val="5DA12B26"/>
    <w:rsid w:val="5DA500AE"/>
    <w:rsid w:val="5DB609A6"/>
    <w:rsid w:val="5DBC3CC1"/>
    <w:rsid w:val="5DBC5917"/>
    <w:rsid w:val="5DCD469A"/>
    <w:rsid w:val="5DEC3487"/>
    <w:rsid w:val="5E0914A4"/>
    <w:rsid w:val="5E2A2E3B"/>
    <w:rsid w:val="5E374F30"/>
    <w:rsid w:val="5E385791"/>
    <w:rsid w:val="5E475AA7"/>
    <w:rsid w:val="5E4B405C"/>
    <w:rsid w:val="5E50761C"/>
    <w:rsid w:val="5E561B3F"/>
    <w:rsid w:val="5E584A22"/>
    <w:rsid w:val="5E811127"/>
    <w:rsid w:val="5E857C28"/>
    <w:rsid w:val="5E894506"/>
    <w:rsid w:val="5E8B5A56"/>
    <w:rsid w:val="5E926C03"/>
    <w:rsid w:val="5EB313BB"/>
    <w:rsid w:val="5ECB7BF2"/>
    <w:rsid w:val="5ECE5D4A"/>
    <w:rsid w:val="5ED90F17"/>
    <w:rsid w:val="5ED939A5"/>
    <w:rsid w:val="5EDA4965"/>
    <w:rsid w:val="5EEC31B8"/>
    <w:rsid w:val="5F022862"/>
    <w:rsid w:val="5F023B2A"/>
    <w:rsid w:val="5F1B18E3"/>
    <w:rsid w:val="5F1D5366"/>
    <w:rsid w:val="5F200FB0"/>
    <w:rsid w:val="5F217C35"/>
    <w:rsid w:val="5F2E502C"/>
    <w:rsid w:val="5F457B85"/>
    <w:rsid w:val="5F5C1712"/>
    <w:rsid w:val="5F6A6E3A"/>
    <w:rsid w:val="5F7704D4"/>
    <w:rsid w:val="5F817E11"/>
    <w:rsid w:val="5F8E78F8"/>
    <w:rsid w:val="5F907C51"/>
    <w:rsid w:val="5F9A5B63"/>
    <w:rsid w:val="5FBA4720"/>
    <w:rsid w:val="5FC00ECD"/>
    <w:rsid w:val="5FC6630C"/>
    <w:rsid w:val="5FD76EBA"/>
    <w:rsid w:val="5FED4A82"/>
    <w:rsid w:val="60120515"/>
    <w:rsid w:val="602357F7"/>
    <w:rsid w:val="60351F96"/>
    <w:rsid w:val="6036076A"/>
    <w:rsid w:val="604D59E9"/>
    <w:rsid w:val="606E27EE"/>
    <w:rsid w:val="607960B2"/>
    <w:rsid w:val="607C202D"/>
    <w:rsid w:val="60806EBC"/>
    <w:rsid w:val="6094012C"/>
    <w:rsid w:val="60A3523F"/>
    <w:rsid w:val="60A6700B"/>
    <w:rsid w:val="60AD295E"/>
    <w:rsid w:val="60DF2E51"/>
    <w:rsid w:val="60E15B6C"/>
    <w:rsid w:val="60E371C0"/>
    <w:rsid w:val="60EC206D"/>
    <w:rsid w:val="60EE3ACD"/>
    <w:rsid w:val="60EE4F5A"/>
    <w:rsid w:val="60F00CB4"/>
    <w:rsid w:val="610D7AFA"/>
    <w:rsid w:val="613C67E2"/>
    <w:rsid w:val="61543211"/>
    <w:rsid w:val="61577ABB"/>
    <w:rsid w:val="615A5084"/>
    <w:rsid w:val="615A515A"/>
    <w:rsid w:val="6164018B"/>
    <w:rsid w:val="616D7116"/>
    <w:rsid w:val="618608B6"/>
    <w:rsid w:val="61864EB8"/>
    <w:rsid w:val="61A26396"/>
    <w:rsid w:val="61B63455"/>
    <w:rsid w:val="61B8433A"/>
    <w:rsid w:val="61B85B31"/>
    <w:rsid w:val="61D84FBD"/>
    <w:rsid w:val="61DA37B1"/>
    <w:rsid w:val="61DF63A8"/>
    <w:rsid w:val="61EB62CC"/>
    <w:rsid w:val="61FC4456"/>
    <w:rsid w:val="620B2703"/>
    <w:rsid w:val="62126C1A"/>
    <w:rsid w:val="621D2306"/>
    <w:rsid w:val="621E05EF"/>
    <w:rsid w:val="62301B6D"/>
    <w:rsid w:val="62307DA0"/>
    <w:rsid w:val="62601E8F"/>
    <w:rsid w:val="626519AE"/>
    <w:rsid w:val="62690F67"/>
    <w:rsid w:val="626955C5"/>
    <w:rsid w:val="626C2008"/>
    <w:rsid w:val="626D3D00"/>
    <w:rsid w:val="62706A8A"/>
    <w:rsid w:val="6277447D"/>
    <w:rsid w:val="628D0431"/>
    <w:rsid w:val="628F1B26"/>
    <w:rsid w:val="629672D5"/>
    <w:rsid w:val="62990512"/>
    <w:rsid w:val="62A160D1"/>
    <w:rsid w:val="62B56037"/>
    <w:rsid w:val="62B71C5A"/>
    <w:rsid w:val="62C3692C"/>
    <w:rsid w:val="62DA4D50"/>
    <w:rsid w:val="63032D17"/>
    <w:rsid w:val="630A50A8"/>
    <w:rsid w:val="63100A0F"/>
    <w:rsid w:val="632060A8"/>
    <w:rsid w:val="63235E3E"/>
    <w:rsid w:val="63395A14"/>
    <w:rsid w:val="63477B21"/>
    <w:rsid w:val="634A1FC7"/>
    <w:rsid w:val="63605694"/>
    <w:rsid w:val="63644624"/>
    <w:rsid w:val="63647B9E"/>
    <w:rsid w:val="637C7089"/>
    <w:rsid w:val="6381778C"/>
    <w:rsid w:val="63905FCF"/>
    <w:rsid w:val="639174EE"/>
    <w:rsid w:val="63B6442A"/>
    <w:rsid w:val="63BF0A69"/>
    <w:rsid w:val="63C81348"/>
    <w:rsid w:val="63CA29B9"/>
    <w:rsid w:val="63D30587"/>
    <w:rsid w:val="63D3253C"/>
    <w:rsid w:val="63D83594"/>
    <w:rsid w:val="63D8442C"/>
    <w:rsid w:val="63E63887"/>
    <w:rsid w:val="63EF362E"/>
    <w:rsid w:val="640A6014"/>
    <w:rsid w:val="64113635"/>
    <w:rsid w:val="64122DFD"/>
    <w:rsid w:val="642F43CB"/>
    <w:rsid w:val="64307255"/>
    <w:rsid w:val="64334C37"/>
    <w:rsid w:val="643D6902"/>
    <w:rsid w:val="643F729F"/>
    <w:rsid w:val="64410116"/>
    <w:rsid w:val="64412FC5"/>
    <w:rsid w:val="644C2EC3"/>
    <w:rsid w:val="645021A1"/>
    <w:rsid w:val="64502CCF"/>
    <w:rsid w:val="64647575"/>
    <w:rsid w:val="647543A4"/>
    <w:rsid w:val="64807B82"/>
    <w:rsid w:val="64830353"/>
    <w:rsid w:val="64912D86"/>
    <w:rsid w:val="64B07BD6"/>
    <w:rsid w:val="64B53477"/>
    <w:rsid w:val="64BC3D35"/>
    <w:rsid w:val="64BD7A01"/>
    <w:rsid w:val="64C959BE"/>
    <w:rsid w:val="64D054CC"/>
    <w:rsid w:val="64E0331D"/>
    <w:rsid w:val="64EB167D"/>
    <w:rsid w:val="64FA4141"/>
    <w:rsid w:val="64FD0010"/>
    <w:rsid w:val="65025E56"/>
    <w:rsid w:val="6505177E"/>
    <w:rsid w:val="650C62F3"/>
    <w:rsid w:val="652D304B"/>
    <w:rsid w:val="653046DE"/>
    <w:rsid w:val="6544375A"/>
    <w:rsid w:val="654936EA"/>
    <w:rsid w:val="656977F7"/>
    <w:rsid w:val="656A573C"/>
    <w:rsid w:val="65734120"/>
    <w:rsid w:val="657406DD"/>
    <w:rsid w:val="659624FE"/>
    <w:rsid w:val="65A60680"/>
    <w:rsid w:val="65AA173A"/>
    <w:rsid w:val="65B61D01"/>
    <w:rsid w:val="65C67889"/>
    <w:rsid w:val="65CF64C9"/>
    <w:rsid w:val="65D03797"/>
    <w:rsid w:val="65D134BE"/>
    <w:rsid w:val="65D13721"/>
    <w:rsid w:val="65DA253B"/>
    <w:rsid w:val="660536B1"/>
    <w:rsid w:val="66335D7C"/>
    <w:rsid w:val="66366C78"/>
    <w:rsid w:val="66497B34"/>
    <w:rsid w:val="664D4330"/>
    <w:rsid w:val="665B2581"/>
    <w:rsid w:val="665B2B90"/>
    <w:rsid w:val="666773A1"/>
    <w:rsid w:val="66795B43"/>
    <w:rsid w:val="667A0292"/>
    <w:rsid w:val="66843C27"/>
    <w:rsid w:val="669C3635"/>
    <w:rsid w:val="66AA3F91"/>
    <w:rsid w:val="66C6028C"/>
    <w:rsid w:val="66EA62EA"/>
    <w:rsid w:val="66F339D6"/>
    <w:rsid w:val="66F51593"/>
    <w:rsid w:val="66F6347F"/>
    <w:rsid w:val="66FE30D6"/>
    <w:rsid w:val="67002662"/>
    <w:rsid w:val="670D5B07"/>
    <w:rsid w:val="6711213F"/>
    <w:rsid w:val="672549D0"/>
    <w:rsid w:val="67277AEA"/>
    <w:rsid w:val="672C6DA8"/>
    <w:rsid w:val="67372792"/>
    <w:rsid w:val="67410A12"/>
    <w:rsid w:val="67497E3C"/>
    <w:rsid w:val="67560DBE"/>
    <w:rsid w:val="675B6F05"/>
    <w:rsid w:val="677974AB"/>
    <w:rsid w:val="677B3F21"/>
    <w:rsid w:val="67837291"/>
    <w:rsid w:val="67855AC4"/>
    <w:rsid w:val="678608BA"/>
    <w:rsid w:val="67AB0F4E"/>
    <w:rsid w:val="67AF50CE"/>
    <w:rsid w:val="67B2533A"/>
    <w:rsid w:val="67B34CC7"/>
    <w:rsid w:val="67BB001A"/>
    <w:rsid w:val="67BE5639"/>
    <w:rsid w:val="67E3362D"/>
    <w:rsid w:val="67E851F1"/>
    <w:rsid w:val="67F8136D"/>
    <w:rsid w:val="67FA3E30"/>
    <w:rsid w:val="680637ED"/>
    <w:rsid w:val="682148A7"/>
    <w:rsid w:val="682230A6"/>
    <w:rsid w:val="68223BF4"/>
    <w:rsid w:val="682C20AC"/>
    <w:rsid w:val="68353473"/>
    <w:rsid w:val="68640E5F"/>
    <w:rsid w:val="686B70BC"/>
    <w:rsid w:val="68716C3B"/>
    <w:rsid w:val="6872143C"/>
    <w:rsid w:val="687E566C"/>
    <w:rsid w:val="68833D15"/>
    <w:rsid w:val="68847A53"/>
    <w:rsid w:val="68882CC1"/>
    <w:rsid w:val="68884337"/>
    <w:rsid w:val="688A02A4"/>
    <w:rsid w:val="68923358"/>
    <w:rsid w:val="68A4412F"/>
    <w:rsid w:val="68B11815"/>
    <w:rsid w:val="68CD311D"/>
    <w:rsid w:val="68CE004D"/>
    <w:rsid w:val="68DE3035"/>
    <w:rsid w:val="69016C31"/>
    <w:rsid w:val="69030DDF"/>
    <w:rsid w:val="690D6CD6"/>
    <w:rsid w:val="69100F86"/>
    <w:rsid w:val="69133F9F"/>
    <w:rsid w:val="691506CE"/>
    <w:rsid w:val="692740EE"/>
    <w:rsid w:val="693D1E5D"/>
    <w:rsid w:val="69611825"/>
    <w:rsid w:val="696936C7"/>
    <w:rsid w:val="69797C2C"/>
    <w:rsid w:val="697A1C5E"/>
    <w:rsid w:val="697B11CE"/>
    <w:rsid w:val="69823C91"/>
    <w:rsid w:val="6985143F"/>
    <w:rsid w:val="69A21D89"/>
    <w:rsid w:val="69AA397D"/>
    <w:rsid w:val="69AE602C"/>
    <w:rsid w:val="69B207D8"/>
    <w:rsid w:val="69C118D8"/>
    <w:rsid w:val="69C41445"/>
    <w:rsid w:val="69C561D1"/>
    <w:rsid w:val="69C5778C"/>
    <w:rsid w:val="69C64F45"/>
    <w:rsid w:val="69D23E58"/>
    <w:rsid w:val="69DB628A"/>
    <w:rsid w:val="69EA73F6"/>
    <w:rsid w:val="69F34611"/>
    <w:rsid w:val="6A074990"/>
    <w:rsid w:val="6A1261CA"/>
    <w:rsid w:val="6A185AE7"/>
    <w:rsid w:val="6A1A39CF"/>
    <w:rsid w:val="6A1C7F2E"/>
    <w:rsid w:val="6A1E59C4"/>
    <w:rsid w:val="6A2C0403"/>
    <w:rsid w:val="6A355D8F"/>
    <w:rsid w:val="6A365309"/>
    <w:rsid w:val="6A383F0D"/>
    <w:rsid w:val="6A4E63D2"/>
    <w:rsid w:val="6A6E2DE8"/>
    <w:rsid w:val="6A6E6257"/>
    <w:rsid w:val="6A857D7B"/>
    <w:rsid w:val="6A8B0E18"/>
    <w:rsid w:val="6A934155"/>
    <w:rsid w:val="6AAD0C73"/>
    <w:rsid w:val="6AB17A5C"/>
    <w:rsid w:val="6AC36824"/>
    <w:rsid w:val="6AC6240D"/>
    <w:rsid w:val="6ACC1C5A"/>
    <w:rsid w:val="6AD17BE7"/>
    <w:rsid w:val="6AD212CB"/>
    <w:rsid w:val="6AD739BB"/>
    <w:rsid w:val="6AD77F76"/>
    <w:rsid w:val="6AFA02CD"/>
    <w:rsid w:val="6B0B5CAC"/>
    <w:rsid w:val="6B0F3B52"/>
    <w:rsid w:val="6B1362E2"/>
    <w:rsid w:val="6B3B0067"/>
    <w:rsid w:val="6B4C5F2C"/>
    <w:rsid w:val="6B5A07AA"/>
    <w:rsid w:val="6B644CBA"/>
    <w:rsid w:val="6B6C1C7F"/>
    <w:rsid w:val="6B70483E"/>
    <w:rsid w:val="6B731EFB"/>
    <w:rsid w:val="6B757ED3"/>
    <w:rsid w:val="6B775863"/>
    <w:rsid w:val="6B8019CD"/>
    <w:rsid w:val="6B807DB0"/>
    <w:rsid w:val="6B877640"/>
    <w:rsid w:val="6B8C5B8B"/>
    <w:rsid w:val="6B8F541A"/>
    <w:rsid w:val="6B932470"/>
    <w:rsid w:val="6BB4311A"/>
    <w:rsid w:val="6BB512F4"/>
    <w:rsid w:val="6BBA2A93"/>
    <w:rsid w:val="6BC03DFB"/>
    <w:rsid w:val="6BD47953"/>
    <w:rsid w:val="6BF04942"/>
    <w:rsid w:val="6C150AF7"/>
    <w:rsid w:val="6C193442"/>
    <w:rsid w:val="6C1E00B5"/>
    <w:rsid w:val="6C285303"/>
    <w:rsid w:val="6C321608"/>
    <w:rsid w:val="6C3F4DC9"/>
    <w:rsid w:val="6C404FA0"/>
    <w:rsid w:val="6C5343CE"/>
    <w:rsid w:val="6C941555"/>
    <w:rsid w:val="6C994D8D"/>
    <w:rsid w:val="6C9D754B"/>
    <w:rsid w:val="6CBB331C"/>
    <w:rsid w:val="6CBF4D5E"/>
    <w:rsid w:val="6CC44C54"/>
    <w:rsid w:val="6CCD52BD"/>
    <w:rsid w:val="6CDE2F83"/>
    <w:rsid w:val="6CE1727B"/>
    <w:rsid w:val="6CE97F64"/>
    <w:rsid w:val="6D025DD6"/>
    <w:rsid w:val="6D27603C"/>
    <w:rsid w:val="6D276F08"/>
    <w:rsid w:val="6D29322D"/>
    <w:rsid w:val="6D2D4FFE"/>
    <w:rsid w:val="6D3B1E2F"/>
    <w:rsid w:val="6D3B4C56"/>
    <w:rsid w:val="6D51581D"/>
    <w:rsid w:val="6D54638F"/>
    <w:rsid w:val="6D5633DC"/>
    <w:rsid w:val="6D564DD4"/>
    <w:rsid w:val="6D584F3A"/>
    <w:rsid w:val="6D6D630A"/>
    <w:rsid w:val="6D812E72"/>
    <w:rsid w:val="6D83104A"/>
    <w:rsid w:val="6D865850"/>
    <w:rsid w:val="6D90698F"/>
    <w:rsid w:val="6D967A6A"/>
    <w:rsid w:val="6D9744AD"/>
    <w:rsid w:val="6DA5572F"/>
    <w:rsid w:val="6DAC14DD"/>
    <w:rsid w:val="6DB01A18"/>
    <w:rsid w:val="6DB1047A"/>
    <w:rsid w:val="6DD63486"/>
    <w:rsid w:val="6DD76CC0"/>
    <w:rsid w:val="6DE42AAD"/>
    <w:rsid w:val="6DE82F65"/>
    <w:rsid w:val="6DFA2801"/>
    <w:rsid w:val="6E145A7C"/>
    <w:rsid w:val="6E2A123E"/>
    <w:rsid w:val="6E2E4508"/>
    <w:rsid w:val="6E3443E9"/>
    <w:rsid w:val="6E4F2CFF"/>
    <w:rsid w:val="6E511E37"/>
    <w:rsid w:val="6E517668"/>
    <w:rsid w:val="6E650C00"/>
    <w:rsid w:val="6E6A4764"/>
    <w:rsid w:val="6E7F25F3"/>
    <w:rsid w:val="6E84719F"/>
    <w:rsid w:val="6E8A026D"/>
    <w:rsid w:val="6E90393F"/>
    <w:rsid w:val="6E904F6D"/>
    <w:rsid w:val="6E9578B2"/>
    <w:rsid w:val="6E9821A1"/>
    <w:rsid w:val="6EA74235"/>
    <w:rsid w:val="6EA85D11"/>
    <w:rsid w:val="6EAB3634"/>
    <w:rsid w:val="6EBD33EE"/>
    <w:rsid w:val="6EC030A5"/>
    <w:rsid w:val="6EC1660C"/>
    <w:rsid w:val="6EC9031B"/>
    <w:rsid w:val="6ED02826"/>
    <w:rsid w:val="6ED51BBF"/>
    <w:rsid w:val="6ED9051F"/>
    <w:rsid w:val="6EE67718"/>
    <w:rsid w:val="6EE81B2A"/>
    <w:rsid w:val="6EF32CBB"/>
    <w:rsid w:val="6EF75AB9"/>
    <w:rsid w:val="6EF76E3B"/>
    <w:rsid w:val="6EFC4FA9"/>
    <w:rsid w:val="6EFE4C50"/>
    <w:rsid w:val="6F052C91"/>
    <w:rsid w:val="6F0E362A"/>
    <w:rsid w:val="6F1816E4"/>
    <w:rsid w:val="6F2A29F3"/>
    <w:rsid w:val="6F3D1ED9"/>
    <w:rsid w:val="6F3E026B"/>
    <w:rsid w:val="6F484A46"/>
    <w:rsid w:val="6F553E44"/>
    <w:rsid w:val="6F581D10"/>
    <w:rsid w:val="6F5B7FFF"/>
    <w:rsid w:val="6F652F01"/>
    <w:rsid w:val="6F6F2E71"/>
    <w:rsid w:val="6F702FC7"/>
    <w:rsid w:val="6F716614"/>
    <w:rsid w:val="6F741BA3"/>
    <w:rsid w:val="6F872C59"/>
    <w:rsid w:val="6F8D4951"/>
    <w:rsid w:val="6FA3347C"/>
    <w:rsid w:val="6FAA3674"/>
    <w:rsid w:val="6FAD47A6"/>
    <w:rsid w:val="6FD96BC7"/>
    <w:rsid w:val="6FDC234B"/>
    <w:rsid w:val="6FDE6A14"/>
    <w:rsid w:val="6FF50A29"/>
    <w:rsid w:val="6FF6351A"/>
    <w:rsid w:val="70006A9A"/>
    <w:rsid w:val="70052F32"/>
    <w:rsid w:val="700A653A"/>
    <w:rsid w:val="701204CC"/>
    <w:rsid w:val="70183F8B"/>
    <w:rsid w:val="701876E5"/>
    <w:rsid w:val="7020205F"/>
    <w:rsid w:val="70223424"/>
    <w:rsid w:val="702407B8"/>
    <w:rsid w:val="702F0693"/>
    <w:rsid w:val="70334C80"/>
    <w:rsid w:val="704F2FB3"/>
    <w:rsid w:val="705D7F37"/>
    <w:rsid w:val="706D4E67"/>
    <w:rsid w:val="707A4653"/>
    <w:rsid w:val="7089722E"/>
    <w:rsid w:val="708B6E9F"/>
    <w:rsid w:val="70910274"/>
    <w:rsid w:val="709749D8"/>
    <w:rsid w:val="70A53416"/>
    <w:rsid w:val="70A56B65"/>
    <w:rsid w:val="70AA5DC7"/>
    <w:rsid w:val="70AC4225"/>
    <w:rsid w:val="70AD6BD1"/>
    <w:rsid w:val="70B54A22"/>
    <w:rsid w:val="70B744E6"/>
    <w:rsid w:val="70B8391A"/>
    <w:rsid w:val="70C70ACF"/>
    <w:rsid w:val="70C9364A"/>
    <w:rsid w:val="70CA6991"/>
    <w:rsid w:val="70CF4090"/>
    <w:rsid w:val="70CF4B23"/>
    <w:rsid w:val="70D12EC4"/>
    <w:rsid w:val="70D55D00"/>
    <w:rsid w:val="70FE779F"/>
    <w:rsid w:val="7100273B"/>
    <w:rsid w:val="7105304B"/>
    <w:rsid w:val="71076027"/>
    <w:rsid w:val="7109458C"/>
    <w:rsid w:val="711079F2"/>
    <w:rsid w:val="712A62A5"/>
    <w:rsid w:val="716213EE"/>
    <w:rsid w:val="716779B0"/>
    <w:rsid w:val="717A5048"/>
    <w:rsid w:val="7182148D"/>
    <w:rsid w:val="718928BF"/>
    <w:rsid w:val="718C3D14"/>
    <w:rsid w:val="719642B8"/>
    <w:rsid w:val="71A319D0"/>
    <w:rsid w:val="71A82B2A"/>
    <w:rsid w:val="71C4461A"/>
    <w:rsid w:val="71CF00C9"/>
    <w:rsid w:val="71D85B53"/>
    <w:rsid w:val="720573B8"/>
    <w:rsid w:val="720B13CF"/>
    <w:rsid w:val="720B5AA1"/>
    <w:rsid w:val="720C5449"/>
    <w:rsid w:val="72100473"/>
    <w:rsid w:val="72167275"/>
    <w:rsid w:val="72272DF4"/>
    <w:rsid w:val="72314BFF"/>
    <w:rsid w:val="72317074"/>
    <w:rsid w:val="7240015D"/>
    <w:rsid w:val="724D3F2E"/>
    <w:rsid w:val="724E6EEF"/>
    <w:rsid w:val="72601B3C"/>
    <w:rsid w:val="726278FE"/>
    <w:rsid w:val="7277094B"/>
    <w:rsid w:val="72771D81"/>
    <w:rsid w:val="72827A9B"/>
    <w:rsid w:val="728C3749"/>
    <w:rsid w:val="72926EBD"/>
    <w:rsid w:val="729E38B7"/>
    <w:rsid w:val="72A73849"/>
    <w:rsid w:val="72B63710"/>
    <w:rsid w:val="72BE31A7"/>
    <w:rsid w:val="72C06FB1"/>
    <w:rsid w:val="72DA0DAE"/>
    <w:rsid w:val="72DA6D01"/>
    <w:rsid w:val="72E13B05"/>
    <w:rsid w:val="72E626F5"/>
    <w:rsid w:val="72F7152C"/>
    <w:rsid w:val="72FA5CB8"/>
    <w:rsid w:val="72FA6C8B"/>
    <w:rsid w:val="73013564"/>
    <w:rsid w:val="73017070"/>
    <w:rsid w:val="730E3982"/>
    <w:rsid w:val="73116AA6"/>
    <w:rsid w:val="73192F83"/>
    <w:rsid w:val="7319701B"/>
    <w:rsid w:val="73226E0E"/>
    <w:rsid w:val="7324716A"/>
    <w:rsid w:val="733F6B2D"/>
    <w:rsid w:val="734A0734"/>
    <w:rsid w:val="735C535B"/>
    <w:rsid w:val="73651F35"/>
    <w:rsid w:val="7377095A"/>
    <w:rsid w:val="73887250"/>
    <w:rsid w:val="73937D3A"/>
    <w:rsid w:val="73980919"/>
    <w:rsid w:val="73AB38B5"/>
    <w:rsid w:val="73D96E53"/>
    <w:rsid w:val="73E00F7C"/>
    <w:rsid w:val="73E6024C"/>
    <w:rsid w:val="73F34C83"/>
    <w:rsid w:val="73F92E98"/>
    <w:rsid w:val="73FD54A2"/>
    <w:rsid w:val="74076209"/>
    <w:rsid w:val="740A563F"/>
    <w:rsid w:val="74107352"/>
    <w:rsid w:val="74265B38"/>
    <w:rsid w:val="743D1DBC"/>
    <w:rsid w:val="743D7356"/>
    <w:rsid w:val="74424151"/>
    <w:rsid w:val="744E2F5E"/>
    <w:rsid w:val="745261D1"/>
    <w:rsid w:val="745D43C2"/>
    <w:rsid w:val="74601BD6"/>
    <w:rsid w:val="746A0DB3"/>
    <w:rsid w:val="74731CE9"/>
    <w:rsid w:val="74773D40"/>
    <w:rsid w:val="74822038"/>
    <w:rsid w:val="74826011"/>
    <w:rsid w:val="74A92490"/>
    <w:rsid w:val="74AB106C"/>
    <w:rsid w:val="74B82233"/>
    <w:rsid w:val="74D1200C"/>
    <w:rsid w:val="74F37855"/>
    <w:rsid w:val="75021F40"/>
    <w:rsid w:val="750E5803"/>
    <w:rsid w:val="75122DCD"/>
    <w:rsid w:val="751A4786"/>
    <w:rsid w:val="75253501"/>
    <w:rsid w:val="752A2E6A"/>
    <w:rsid w:val="752C3931"/>
    <w:rsid w:val="75320C67"/>
    <w:rsid w:val="754816B4"/>
    <w:rsid w:val="75553080"/>
    <w:rsid w:val="756263AE"/>
    <w:rsid w:val="757C6C5E"/>
    <w:rsid w:val="75842621"/>
    <w:rsid w:val="75851E68"/>
    <w:rsid w:val="75985616"/>
    <w:rsid w:val="759E4EA7"/>
    <w:rsid w:val="75A005AE"/>
    <w:rsid w:val="75B13D16"/>
    <w:rsid w:val="75BF4B25"/>
    <w:rsid w:val="75CE2DDE"/>
    <w:rsid w:val="75D752BF"/>
    <w:rsid w:val="75D87B50"/>
    <w:rsid w:val="75DB4086"/>
    <w:rsid w:val="75E417B2"/>
    <w:rsid w:val="76042CDA"/>
    <w:rsid w:val="760A02C0"/>
    <w:rsid w:val="760B31C2"/>
    <w:rsid w:val="76136FC8"/>
    <w:rsid w:val="762049DC"/>
    <w:rsid w:val="76250CC2"/>
    <w:rsid w:val="763C19EA"/>
    <w:rsid w:val="763F24DF"/>
    <w:rsid w:val="76514BCC"/>
    <w:rsid w:val="76562193"/>
    <w:rsid w:val="76726619"/>
    <w:rsid w:val="7674711B"/>
    <w:rsid w:val="767D0112"/>
    <w:rsid w:val="76871A35"/>
    <w:rsid w:val="769A0047"/>
    <w:rsid w:val="769F6C8C"/>
    <w:rsid w:val="76A0160E"/>
    <w:rsid w:val="76A47083"/>
    <w:rsid w:val="76C35C60"/>
    <w:rsid w:val="76CC414B"/>
    <w:rsid w:val="76DA6354"/>
    <w:rsid w:val="76DE282F"/>
    <w:rsid w:val="76E61D96"/>
    <w:rsid w:val="76E97CB5"/>
    <w:rsid w:val="76FD353D"/>
    <w:rsid w:val="76FF797E"/>
    <w:rsid w:val="7700542E"/>
    <w:rsid w:val="770A35A1"/>
    <w:rsid w:val="771B6FAB"/>
    <w:rsid w:val="7735476F"/>
    <w:rsid w:val="77476226"/>
    <w:rsid w:val="774E2A3D"/>
    <w:rsid w:val="77686F2B"/>
    <w:rsid w:val="776F121C"/>
    <w:rsid w:val="777C4916"/>
    <w:rsid w:val="77821C4B"/>
    <w:rsid w:val="77837BFC"/>
    <w:rsid w:val="7786768A"/>
    <w:rsid w:val="77872A68"/>
    <w:rsid w:val="77A73E1D"/>
    <w:rsid w:val="77AB1B7C"/>
    <w:rsid w:val="77AD1D4E"/>
    <w:rsid w:val="77B63286"/>
    <w:rsid w:val="77C420F2"/>
    <w:rsid w:val="77D21DF6"/>
    <w:rsid w:val="77D83461"/>
    <w:rsid w:val="77E745E9"/>
    <w:rsid w:val="77EB34F8"/>
    <w:rsid w:val="77F6722B"/>
    <w:rsid w:val="77FC0252"/>
    <w:rsid w:val="77FE5D43"/>
    <w:rsid w:val="78106987"/>
    <w:rsid w:val="781624B7"/>
    <w:rsid w:val="78175668"/>
    <w:rsid w:val="781924BD"/>
    <w:rsid w:val="783B7E27"/>
    <w:rsid w:val="783C4CA3"/>
    <w:rsid w:val="7841295F"/>
    <w:rsid w:val="784375A6"/>
    <w:rsid w:val="784F77F4"/>
    <w:rsid w:val="7872546E"/>
    <w:rsid w:val="78771529"/>
    <w:rsid w:val="78911322"/>
    <w:rsid w:val="78981E14"/>
    <w:rsid w:val="789C3EFA"/>
    <w:rsid w:val="78A77216"/>
    <w:rsid w:val="78AA0EBE"/>
    <w:rsid w:val="78C31ACE"/>
    <w:rsid w:val="78C41DAE"/>
    <w:rsid w:val="78C82090"/>
    <w:rsid w:val="78F0085E"/>
    <w:rsid w:val="790A5D98"/>
    <w:rsid w:val="791741EE"/>
    <w:rsid w:val="791B7181"/>
    <w:rsid w:val="792C3F25"/>
    <w:rsid w:val="79334A6B"/>
    <w:rsid w:val="793E418E"/>
    <w:rsid w:val="794167C3"/>
    <w:rsid w:val="794301AD"/>
    <w:rsid w:val="7944173D"/>
    <w:rsid w:val="794E6DA1"/>
    <w:rsid w:val="794F49D1"/>
    <w:rsid w:val="79526046"/>
    <w:rsid w:val="79626DDC"/>
    <w:rsid w:val="79747325"/>
    <w:rsid w:val="797B4F1F"/>
    <w:rsid w:val="798F5BAC"/>
    <w:rsid w:val="79912838"/>
    <w:rsid w:val="799E0C2B"/>
    <w:rsid w:val="79A929AF"/>
    <w:rsid w:val="79B256B0"/>
    <w:rsid w:val="79D9036F"/>
    <w:rsid w:val="79E32C7B"/>
    <w:rsid w:val="79F5022E"/>
    <w:rsid w:val="7A0465C2"/>
    <w:rsid w:val="7A0642D0"/>
    <w:rsid w:val="7A1E23CF"/>
    <w:rsid w:val="7A1E65D8"/>
    <w:rsid w:val="7A1F0B92"/>
    <w:rsid w:val="7A2A0FBE"/>
    <w:rsid w:val="7A2F0FE2"/>
    <w:rsid w:val="7A2F5BD4"/>
    <w:rsid w:val="7A3C083E"/>
    <w:rsid w:val="7A4C0112"/>
    <w:rsid w:val="7A547813"/>
    <w:rsid w:val="7A560DE3"/>
    <w:rsid w:val="7A5835D6"/>
    <w:rsid w:val="7A5A0B43"/>
    <w:rsid w:val="7A641499"/>
    <w:rsid w:val="7A667399"/>
    <w:rsid w:val="7A730714"/>
    <w:rsid w:val="7A8A622B"/>
    <w:rsid w:val="7A9B5412"/>
    <w:rsid w:val="7AA103F5"/>
    <w:rsid w:val="7AAB62F3"/>
    <w:rsid w:val="7AB55A29"/>
    <w:rsid w:val="7ABC4C87"/>
    <w:rsid w:val="7AD73B18"/>
    <w:rsid w:val="7AD83D61"/>
    <w:rsid w:val="7ADB0D50"/>
    <w:rsid w:val="7AE9514E"/>
    <w:rsid w:val="7AED4032"/>
    <w:rsid w:val="7AF038BB"/>
    <w:rsid w:val="7AF11353"/>
    <w:rsid w:val="7B020750"/>
    <w:rsid w:val="7B0A537E"/>
    <w:rsid w:val="7B127C9A"/>
    <w:rsid w:val="7B257303"/>
    <w:rsid w:val="7B3B4883"/>
    <w:rsid w:val="7B4E39DC"/>
    <w:rsid w:val="7B77268D"/>
    <w:rsid w:val="7B8830BF"/>
    <w:rsid w:val="7B9A46B2"/>
    <w:rsid w:val="7B9C673F"/>
    <w:rsid w:val="7BAE536B"/>
    <w:rsid w:val="7BAF16A0"/>
    <w:rsid w:val="7BBA257C"/>
    <w:rsid w:val="7BD805E2"/>
    <w:rsid w:val="7BDA378E"/>
    <w:rsid w:val="7BDD6A66"/>
    <w:rsid w:val="7BE7137F"/>
    <w:rsid w:val="7BE87C42"/>
    <w:rsid w:val="7BEC4675"/>
    <w:rsid w:val="7BED625D"/>
    <w:rsid w:val="7BFD445F"/>
    <w:rsid w:val="7C317EED"/>
    <w:rsid w:val="7C4013E3"/>
    <w:rsid w:val="7C41053C"/>
    <w:rsid w:val="7C4A39E1"/>
    <w:rsid w:val="7C4E36FC"/>
    <w:rsid w:val="7C582A63"/>
    <w:rsid w:val="7C5F0FCE"/>
    <w:rsid w:val="7C5F735C"/>
    <w:rsid w:val="7C71228E"/>
    <w:rsid w:val="7C876E9D"/>
    <w:rsid w:val="7C895874"/>
    <w:rsid w:val="7CC47ABA"/>
    <w:rsid w:val="7CD62386"/>
    <w:rsid w:val="7CDF2E23"/>
    <w:rsid w:val="7D0B7F3A"/>
    <w:rsid w:val="7D0D5263"/>
    <w:rsid w:val="7D107378"/>
    <w:rsid w:val="7D18193F"/>
    <w:rsid w:val="7D1E4988"/>
    <w:rsid w:val="7D2539DD"/>
    <w:rsid w:val="7D276804"/>
    <w:rsid w:val="7D2B44F6"/>
    <w:rsid w:val="7D2D1E27"/>
    <w:rsid w:val="7D4C3E69"/>
    <w:rsid w:val="7D7D3EDB"/>
    <w:rsid w:val="7D7D4343"/>
    <w:rsid w:val="7D7F68F5"/>
    <w:rsid w:val="7D906AE0"/>
    <w:rsid w:val="7D9A28FC"/>
    <w:rsid w:val="7DB35F6F"/>
    <w:rsid w:val="7DB44B27"/>
    <w:rsid w:val="7DB6126D"/>
    <w:rsid w:val="7DBC698F"/>
    <w:rsid w:val="7DC15B96"/>
    <w:rsid w:val="7DCA1E1B"/>
    <w:rsid w:val="7DCD00BC"/>
    <w:rsid w:val="7DDA304D"/>
    <w:rsid w:val="7DED1964"/>
    <w:rsid w:val="7E0E1A1B"/>
    <w:rsid w:val="7E195F2D"/>
    <w:rsid w:val="7E196EFB"/>
    <w:rsid w:val="7E20113E"/>
    <w:rsid w:val="7E4039CB"/>
    <w:rsid w:val="7E417151"/>
    <w:rsid w:val="7E4E7659"/>
    <w:rsid w:val="7E5711F0"/>
    <w:rsid w:val="7E5C39E4"/>
    <w:rsid w:val="7E6D403C"/>
    <w:rsid w:val="7E7041E8"/>
    <w:rsid w:val="7E7B0841"/>
    <w:rsid w:val="7E890F7F"/>
    <w:rsid w:val="7E8A6191"/>
    <w:rsid w:val="7E9050F0"/>
    <w:rsid w:val="7E99614D"/>
    <w:rsid w:val="7EBA4456"/>
    <w:rsid w:val="7EC27F8A"/>
    <w:rsid w:val="7ECB0A4C"/>
    <w:rsid w:val="7ED5106B"/>
    <w:rsid w:val="7EDB57D6"/>
    <w:rsid w:val="7EEF10D4"/>
    <w:rsid w:val="7EF34417"/>
    <w:rsid w:val="7EFA67A9"/>
    <w:rsid w:val="7F0140D1"/>
    <w:rsid w:val="7F073BD7"/>
    <w:rsid w:val="7F082702"/>
    <w:rsid w:val="7F153CC4"/>
    <w:rsid w:val="7F177C83"/>
    <w:rsid w:val="7F1A1208"/>
    <w:rsid w:val="7F1A430A"/>
    <w:rsid w:val="7F1C3458"/>
    <w:rsid w:val="7F1C6FBF"/>
    <w:rsid w:val="7F24615A"/>
    <w:rsid w:val="7F3403CA"/>
    <w:rsid w:val="7F45160A"/>
    <w:rsid w:val="7F460C10"/>
    <w:rsid w:val="7F5C2611"/>
    <w:rsid w:val="7F637DBE"/>
    <w:rsid w:val="7F9075B7"/>
    <w:rsid w:val="7FA64F76"/>
    <w:rsid w:val="7FC127F4"/>
    <w:rsid w:val="7FDD064E"/>
    <w:rsid w:val="7FDE12B5"/>
    <w:rsid w:val="7FF4688D"/>
    <w:rsid w:val="7FF66CC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0"/>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32"/>
      <w:szCs w:val="32"/>
      <w:lang w:val="en-GB"/>
    </w:rPr>
  </w:style>
  <w:style w:type="paragraph" w:styleId="4">
    <w:name w:val="heading 3"/>
    <w:basedOn w:val="3"/>
    <w:next w:val="1"/>
    <w:link w:val="71"/>
    <w:qFormat/>
    <w:uiPriority w:val="0"/>
    <w:pPr>
      <w:numPr>
        <w:ilvl w:val="2"/>
      </w:numPr>
      <w:tabs>
        <w:tab w:val="clear" w:pos="575"/>
      </w:tabs>
      <w:spacing w:before="260" w:after="260" w:line="416" w:lineRule="auto"/>
      <w:outlineLvl w:val="2"/>
    </w:pPr>
    <w:rPr>
      <w:b/>
      <w:bCs/>
    </w:rPr>
  </w:style>
  <w:style w:type="paragraph" w:styleId="5">
    <w:name w:val="heading 4"/>
    <w:basedOn w:val="4"/>
    <w:next w:val="1"/>
    <w:link w:val="72"/>
    <w:qFormat/>
    <w:uiPriority w:val="0"/>
    <w:pPr>
      <w:tabs>
        <w:tab w:val="left" w:pos="864"/>
        <w:tab w:val="left" w:pos="2071"/>
      </w:tabs>
      <w:spacing w:before="280" w:after="290" w:line="372" w:lineRule="auto"/>
      <w:ind w:left="1884" w:hanging="528"/>
      <w:outlineLvl w:val="3"/>
    </w:pPr>
    <w:rPr>
      <w:rFonts w:eastAsia="黑体"/>
      <w:sz w:val="28"/>
    </w:rPr>
  </w:style>
  <w:style w:type="paragraph" w:styleId="6">
    <w:name w:val="heading 5"/>
    <w:basedOn w:val="5"/>
    <w:next w:val="1"/>
    <w:link w:val="73"/>
    <w:qFormat/>
    <w:uiPriority w:val="0"/>
    <w:pPr>
      <w:tabs>
        <w:tab w:val="left" w:pos="1008"/>
        <w:tab w:val="left" w:pos="2383"/>
        <w:tab w:val="clear" w:pos="864"/>
        <w:tab w:val="clear" w:pos="2071"/>
      </w:tabs>
      <w:ind w:left="2196"/>
      <w:outlineLvl w:val="4"/>
    </w:p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6">
    <w:name w:val="Default Paragraph Font"/>
    <w:semiHidden/>
    <w:unhideWhenUsed/>
    <w:qFormat/>
    <w:uiPriority w:val="1"/>
  </w:style>
  <w:style w:type="table" w:default="1" w:styleId="64">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annotation subject"/>
    <w:basedOn w:val="13"/>
    <w:next w:val="13"/>
    <w:link w:val="91"/>
    <w:semiHidden/>
    <w:qFormat/>
    <w:uiPriority w:val="0"/>
    <w:pPr>
      <w:widowControl/>
      <w:spacing w:before="40"/>
    </w:pPr>
    <w:rPr>
      <w:rFonts w:ascii="Arial" w:hAnsi="Arial" w:eastAsia="MS Mincho"/>
      <w:b/>
      <w:bCs/>
      <w:kern w:val="0"/>
      <w:sz w:val="20"/>
      <w:szCs w:val="20"/>
      <w:lang w:val="en-GB" w:eastAsia="en-GB"/>
    </w:rPr>
  </w:style>
  <w:style w:type="paragraph" w:styleId="13">
    <w:name w:val="annotation text"/>
    <w:basedOn w:val="1"/>
    <w:link w:val="175"/>
    <w:unhideWhenUsed/>
    <w:qFormat/>
    <w:uiPriority w:val="0"/>
    <w:pPr>
      <w:jc w:val="left"/>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7"/>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7">
    <w:name w:val="List"/>
    <w:basedOn w:val="1"/>
    <w:unhideWhenUsed/>
    <w:qFormat/>
    <w:uiPriority w:val="0"/>
    <w:pPr>
      <w:ind w:left="200" w:hanging="200" w:hangingChars="200"/>
      <w:contextualSpacing/>
    </w:pPr>
  </w:style>
  <w:style w:type="paragraph" w:styleId="18">
    <w:name w:val="List Bullet 4"/>
    <w:basedOn w:val="19"/>
    <w:qFormat/>
    <w:uiPriority w:val="0"/>
    <w:pPr>
      <w:tabs>
        <w:tab w:val="left" w:pos="360"/>
        <w:tab w:val="left" w:pos="1259"/>
      </w:tabs>
      <w:ind w:left="1418"/>
    </w:pPr>
  </w:style>
  <w:style w:type="paragraph" w:styleId="19">
    <w:name w:val="List Bullet 3"/>
    <w:basedOn w:val="20"/>
    <w:qFormat/>
    <w:uiPriority w:val="0"/>
    <w:pPr>
      <w:tabs>
        <w:tab w:val="left" w:pos="360"/>
        <w:tab w:val="left" w:pos="1259"/>
      </w:tabs>
      <w:ind w:left="1135"/>
    </w:pPr>
  </w:style>
  <w:style w:type="paragraph" w:styleId="20">
    <w:name w:val="List Bullet 2"/>
    <w:basedOn w:val="21"/>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1">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2">
    <w:name w:val="index 8"/>
    <w:basedOn w:val="1"/>
    <w:next w:val="1"/>
    <w:qFormat/>
    <w:uiPriority w:val="0"/>
    <w:pPr>
      <w:ind w:left="1680" w:hanging="210"/>
      <w:jc w:val="left"/>
    </w:pPr>
    <w:rPr>
      <w:rFonts w:ascii="Calibri" w:hAnsi="Calibri"/>
      <w:sz w:val="20"/>
      <w:szCs w:val="20"/>
    </w:rPr>
  </w:style>
  <w:style w:type="paragraph" w:styleId="23">
    <w:name w:val="caption"/>
    <w:basedOn w:val="1"/>
    <w:next w:val="1"/>
    <w:link w:val="89"/>
    <w:qFormat/>
    <w:uiPriority w:val="0"/>
    <w:pPr>
      <w:spacing w:before="152"/>
    </w:pPr>
    <w:rPr>
      <w:rFonts w:ascii="Arial" w:hAnsi="Arial" w:eastAsia="黑体" w:cs="Arial"/>
      <w:sz w:val="20"/>
      <w:szCs w:val="20"/>
    </w:rPr>
  </w:style>
  <w:style w:type="paragraph" w:styleId="24">
    <w:name w:val="index 5"/>
    <w:basedOn w:val="1"/>
    <w:next w:val="1"/>
    <w:qFormat/>
    <w:uiPriority w:val="0"/>
    <w:pPr>
      <w:ind w:left="1050" w:hanging="210"/>
      <w:jc w:val="left"/>
    </w:pPr>
    <w:rPr>
      <w:rFonts w:ascii="Calibri" w:hAnsi="Calibri"/>
      <w:sz w:val="20"/>
      <w:szCs w:val="20"/>
    </w:rPr>
  </w:style>
  <w:style w:type="paragraph" w:styleId="25">
    <w:name w:val="Document Map"/>
    <w:basedOn w:val="1"/>
    <w:link w:val="68"/>
    <w:unhideWhenUsed/>
    <w:qFormat/>
    <w:uiPriority w:val="0"/>
    <w:rPr>
      <w:rFonts w:ascii="宋体"/>
      <w:sz w:val="18"/>
      <w:szCs w:val="18"/>
    </w:r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28">
    <w:name w:val="List 2"/>
    <w:basedOn w:val="1"/>
    <w:unhideWhenUsed/>
    <w:qFormat/>
    <w:uiPriority w:val="0"/>
    <w:pPr>
      <w:ind w:left="100" w:leftChars="200" w:hanging="200" w:hangingChars="200"/>
      <w:contextualSpacing/>
    </w:pPr>
  </w:style>
  <w:style w:type="paragraph" w:styleId="29">
    <w:name w:val="index 4"/>
    <w:basedOn w:val="1"/>
    <w:next w:val="1"/>
    <w:qFormat/>
    <w:uiPriority w:val="0"/>
    <w:pPr>
      <w:ind w:left="840" w:hanging="210"/>
      <w:jc w:val="left"/>
    </w:pPr>
    <w:rPr>
      <w:rFonts w:ascii="Calibri" w:hAnsi="Calibri"/>
      <w:sz w:val="20"/>
      <w:szCs w:val="20"/>
    </w:rPr>
  </w:style>
  <w:style w:type="paragraph" w:styleId="30">
    <w:name w:val="toc 5"/>
    <w:basedOn w:val="1"/>
    <w:next w:val="1"/>
    <w:qFormat/>
    <w:uiPriority w:val="0"/>
    <w:pPr>
      <w:tabs>
        <w:tab w:val="right" w:leader="dot" w:pos="9241"/>
      </w:tabs>
      <w:ind w:firstLine="300" w:firstLineChars="300"/>
      <w:jc w:val="left"/>
    </w:pPr>
    <w:rPr>
      <w:rFonts w:ascii="宋体"/>
      <w:szCs w:val="21"/>
    </w:rPr>
  </w:style>
  <w:style w:type="paragraph" w:styleId="31">
    <w:name w:val="toc 3"/>
    <w:basedOn w:val="1"/>
    <w:next w:val="1"/>
    <w:qFormat/>
    <w:uiPriority w:val="0"/>
    <w:pPr>
      <w:tabs>
        <w:tab w:val="right" w:leader="dot" w:pos="9241"/>
      </w:tabs>
      <w:ind w:firstLine="100" w:firstLineChars="100"/>
      <w:jc w:val="left"/>
    </w:pPr>
    <w:rPr>
      <w:rFonts w:ascii="宋体"/>
      <w:szCs w:val="21"/>
    </w:rPr>
  </w:style>
  <w:style w:type="paragraph" w:styleId="32">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3">
    <w:name w:val="List Bullet 5"/>
    <w:basedOn w:val="18"/>
    <w:qFormat/>
    <w:uiPriority w:val="0"/>
    <w:pPr>
      <w:ind w:left="1702"/>
    </w:pPr>
  </w:style>
  <w:style w:type="paragraph" w:styleId="34">
    <w:name w:val="toc 8"/>
    <w:basedOn w:val="1"/>
    <w:next w:val="1"/>
    <w:qFormat/>
    <w:uiPriority w:val="0"/>
    <w:pPr>
      <w:tabs>
        <w:tab w:val="right" w:leader="dot" w:pos="9241"/>
      </w:tabs>
      <w:ind w:firstLine="607" w:firstLineChars="600"/>
      <w:jc w:val="left"/>
    </w:pPr>
    <w:rPr>
      <w:rFonts w:ascii="宋体"/>
      <w:szCs w:val="21"/>
    </w:rPr>
  </w:style>
  <w:style w:type="paragraph" w:styleId="35">
    <w:name w:val="index 3"/>
    <w:basedOn w:val="1"/>
    <w:next w:val="1"/>
    <w:qFormat/>
    <w:uiPriority w:val="0"/>
    <w:pPr>
      <w:ind w:left="630" w:hanging="210"/>
      <w:jc w:val="left"/>
    </w:pPr>
    <w:rPr>
      <w:rFonts w:ascii="Calibri" w:hAnsi="Calibri"/>
      <w:sz w:val="20"/>
      <w:szCs w:val="20"/>
    </w:rPr>
  </w:style>
  <w:style w:type="paragraph" w:styleId="36">
    <w:name w:val="endnote text"/>
    <w:basedOn w:val="1"/>
    <w:link w:val="192"/>
    <w:qFormat/>
    <w:uiPriority w:val="0"/>
    <w:pPr>
      <w:snapToGrid w:val="0"/>
      <w:jc w:val="left"/>
    </w:pPr>
  </w:style>
  <w:style w:type="paragraph" w:styleId="37">
    <w:name w:val="Balloon Text"/>
    <w:basedOn w:val="1"/>
    <w:link w:val="66"/>
    <w:unhideWhenUsed/>
    <w:qFormat/>
    <w:uiPriority w:val="0"/>
    <w:rPr>
      <w:sz w:val="18"/>
      <w:szCs w:val="18"/>
    </w:rPr>
  </w:style>
  <w:style w:type="paragraph" w:styleId="38">
    <w:name w:val="footer"/>
    <w:basedOn w:val="1"/>
    <w:link w:val="112"/>
    <w:qFormat/>
    <w:uiPriority w:val="99"/>
    <w:pPr>
      <w:tabs>
        <w:tab w:val="center" w:pos="4153"/>
        <w:tab w:val="right" w:pos="8306"/>
      </w:tabs>
      <w:snapToGrid w:val="0"/>
      <w:jc w:val="left"/>
    </w:pPr>
    <w:rPr>
      <w:sz w:val="18"/>
      <w:szCs w:val="18"/>
    </w:rPr>
  </w:style>
  <w:style w:type="paragraph" w:styleId="39">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40">
    <w:name w:val="toc 1"/>
    <w:basedOn w:val="1"/>
    <w:next w:val="1"/>
    <w:qFormat/>
    <w:uiPriority w:val="39"/>
    <w:pPr>
      <w:tabs>
        <w:tab w:val="right" w:leader="dot" w:pos="9242"/>
      </w:tabs>
      <w:spacing w:beforeLines="25" w:afterLines="25"/>
      <w:jc w:val="left"/>
    </w:pPr>
    <w:rPr>
      <w:rFonts w:ascii="宋体"/>
      <w:szCs w:val="21"/>
    </w:rPr>
  </w:style>
  <w:style w:type="paragraph" w:styleId="41">
    <w:name w:val="toc 4"/>
    <w:basedOn w:val="1"/>
    <w:next w:val="1"/>
    <w:qFormat/>
    <w:uiPriority w:val="0"/>
    <w:pPr>
      <w:tabs>
        <w:tab w:val="right" w:leader="dot" w:pos="9241"/>
      </w:tabs>
      <w:ind w:firstLine="200" w:firstLineChars="200"/>
      <w:jc w:val="left"/>
    </w:pPr>
    <w:rPr>
      <w:rFonts w:ascii="宋体"/>
      <w:szCs w:val="21"/>
    </w:rPr>
  </w:style>
  <w:style w:type="paragraph" w:styleId="42">
    <w:name w:val="index heading"/>
    <w:basedOn w:val="1"/>
    <w:next w:val="43"/>
    <w:qFormat/>
    <w:uiPriority w:val="0"/>
    <w:pPr>
      <w:spacing w:before="120" w:after="120"/>
      <w:jc w:val="center"/>
    </w:pPr>
    <w:rPr>
      <w:rFonts w:ascii="Calibri" w:hAnsi="Calibri"/>
      <w:b/>
      <w:bCs/>
      <w:iCs/>
      <w:szCs w:val="20"/>
    </w:rPr>
  </w:style>
  <w:style w:type="paragraph" w:styleId="43">
    <w:name w:val="index 1"/>
    <w:basedOn w:val="1"/>
    <w:next w:val="44"/>
    <w:qFormat/>
    <w:uiPriority w:val="0"/>
    <w:pPr>
      <w:tabs>
        <w:tab w:val="right" w:leader="dot" w:pos="9299"/>
      </w:tabs>
      <w:jc w:val="left"/>
    </w:pPr>
    <w:rPr>
      <w:rFonts w:ascii="宋体"/>
      <w:szCs w:val="21"/>
    </w:rPr>
  </w:style>
  <w:style w:type="paragraph" w:customStyle="1" w:styleId="44">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5">
    <w:name w:val="footnote text"/>
    <w:basedOn w:val="1"/>
    <w:link w:val="149"/>
    <w:qFormat/>
    <w:uiPriority w:val="0"/>
    <w:pPr>
      <w:tabs>
        <w:tab w:val="left" w:pos="0"/>
      </w:tabs>
      <w:snapToGrid w:val="0"/>
      <w:jc w:val="left"/>
    </w:pPr>
    <w:rPr>
      <w:rFonts w:ascii="宋体"/>
      <w:sz w:val="18"/>
      <w:szCs w:val="18"/>
    </w:rPr>
  </w:style>
  <w:style w:type="paragraph" w:styleId="46">
    <w:name w:val="toc 6"/>
    <w:basedOn w:val="1"/>
    <w:next w:val="1"/>
    <w:qFormat/>
    <w:uiPriority w:val="0"/>
    <w:pPr>
      <w:tabs>
        <w:tab w:val="right" w:leader="dot" w:pos="9241"/>
      </w:tabs>
      <w:ind w:firstLine="400" w:firstLineChars="400"/>
      <w:jc w:val="left"/>
    </w:pPr>
    <w:rPr>
      <w:rFonts w:ascii="宋体"/>
      <w:szCs w:val="21"/>
    </w:rPr>
  </w:style>
  <w:style w:type="paragraph" w:styleId="47">
    <w:name w:val="List 5"/>
    <w:basedOn w:val="48"/>
    <w:qFormat/>
    <w:uiPriority w:val="0"/>
    <w:pPr>
      <w:ind w:left="1702"/>
    </w:pPr>
  </w:style>
  <w:style w:type="paragraph" w:styleId="48">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9">
    <w:name w:val="index 7"/>
    <w:basedOn w:val="1"/>
    <w:next w:val="1"/>
    <w:qFormat/>
    <w:uiPriority w:val="0"/>
    <w:pPr>
      <w:ind w:left="1470" w:hanging="210"/>
      <w:jc w:val="left"/>
    </w:pPr>
    <w:rPr>
      <w:rFonts w:ascii="Calibri" w:hAnsi="Calibri"/>
      <w:sz w:val="20"/>
      <w:szCs w:val="20"/>
    </w:rPr>
  </w:style>
  <w:style w:type="paragraph" w:styleId="50">
    <w:name w:val="index 9"/>
    <w:basedOn w:val="1"/>
    <w:next w:val="1"/>
    <w:qFormat/>
    <w:uiPriority w:val="0"/>
    <w:pPr>
      <w:ind w:left="1890" w:hanging="210"/>
      <w:jc w:val="left"/>
    </w:pPr>
    <w:rPr>
      <w:rFonts w:ascii="Calibri" w:hAnsi="Calibri"/>
      <w:sz w:val="20"/>
      <w:szCs w:val="20"/>
    </w:rPr>
  </w:style>
  <w:style w:type="paragraph" w:styleId="51">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2">
    <w:name w:val="toc 2"/>
    <w:basedOn w:val="1"/>
    <w:next w:val="1"/>
    <w:qFormat/>
    <w:uiPriority w:val="39"/>
    <w:pPr>
      <w:tabs>
        <w:tab w:val="right" w:leader="dot" w:pos="9242"/>
      </w:tabs>
    </w:pPr>
    <w:rPr>
      <w:rFonts w:ascii="宋体"/>
      <w:szCs w:val="21"/>
    </w:rPr>
  </w:style>
  <w:style w:type="paragraph" w:styleId="53">
    <w:name w:val="toc 9"/>
    <w:basedOn w:val="1"/>
    <w:next w:val="1"/>
    <w:qFormat/>
    <w:uiPriority w:val="0"/>
    <w:pPr>
      <w:ind w:left="1470"/>
      <w:jc w:val="left"/>
    </w:pPr>
    <w:rPr>
      <w:sz w:val="20"/>
      <w:szCs w:val="20"/>
    </w:rPr>
  </w:style>
  <w:style w:type="paragraph" w:styleId="54">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5">
    <w:name w:val="index 2"/>
    <w:basedOn w:val="1"/>
    <w:next w:val="1"/>
    <w:qFormat/>
    <w:uiPriority w:val="0"/>
    <w:pPr>
      <w:ind w:left="420" w:hanging="210"/>
      <w:jc w:val="left"/>
    </w:pPr>
    <w:rPr>
      <w:rFonts w:ascii="Calibri" w:hAnsi="Calibri"/>
      <w:sz w:val="20"/>
      <w:szCs w:val="20"/>
    </w:rPr>
  </w:style>
  <w:style w:type="character" w:styleId="57">
    <w:name w:val="endnote reference"/>
    <w:basedOn w:val="56"/>
    <w:qFormat/>
    <w:uiPriority w:val="0"/>
    <w:rPr>
      <w:vertAlign w:val="superscript"/>
    </w:rPr>
  </w:style>
  <w:style w:type="character" w:styleId="58">
    <w:name w:val="page number"/>
    <w:basedOn w:val="56"/>
    <w:qFormat/>
    <w:uiPriority w:val="0"/>
  </w:style>
  <w:style w:type="character" w:styleId="59">
    <w:name w:val="FollowedHyperlink"/>
    <w:basedOn w:val="56"/>
    <w:qFormat/>
    <w:uiPriority w:val="0"/>
    <w:rPr>
      <w:color w:val="800080"/>
      <w:u w:val="single"/>
    </w:rPr>
  </w:style>
  <w:style w:type="character" w:styleId="60">
    <w:name w:val="Emphasis"/>
    <w:qFormat/>
    <w:uiPriority w:val="0"/>
    <w:rPr>
      <w:i/>
      <w:iCs/>
    </w:rPr>
  </w:style>
  <w:style w:type="character" w:styleId="61">
    <w:name w:val="Hyperlink"/>
    <w:basedOn w:val="56"/>
    <w:qFormat/>
    <w:uiPriority w:val="99"/>
    <w:rPr>
      <w:color w:val="0000FF"/>
      <w:spacing w:val="0"/>
      <w:w w:val="100"/>
      <w:szCs w:val="21"/>
      <w:u w:val="single"/>
      <w:lang w:val="en-US" w:eastAsia="zh-CN"/>
    </w:rPr>
  </w:style>
  <w:style w:type="character" w:styleId="62">
    <w:name w:val="annotation reference"/>
    <w:qFormat/>
    <w:uiPriority w:val="0"/>
    <w:rPr>
      <w:sz w:val="16"/>
    </w:rPr>
  </w:style>
  <w:style w:type="character" w:styleId="63">
    <w:name w:val="footnote reference"/>
    <w:basedOn w:val="56"/>
    <w:qFormat/>
    <w:uiPriority w:val="0"/>
    <w:rPr>
      <w:vertAlign w:val="superscript"/>
    </w:rPr>
  </w:style>
  <w:style w:type="table" w:styleId="65">
    <w:name w:val="Table Grid"/>
    <w:basedOn w:val="6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66">
    <w:name w:val="Balloon Text Char"/>
    <w:basedOn w:val="56"/>
    <w:link w:val="37"/>
    <w:qFormat/>
    <w:uiPriority w:val="0"/>
    <w:rPr>
      <w:kern w:val="2"/>
      <w:sz w:val="18"/>
      <w:szCs w:val="18"/>
    </w:rPr>
  </w:style>
  <w:style w:type="paragraph" w:customStyle="1" w:styleId="67">
    <w:name w:val="列出段落1"/>
    <w:basedOn w:val="1"/>
    <w:link w:val="272"/>
    <w:unhideWhenUsed/>
    <w:qFormat/>
    <w:uiPriority w:val="99"/>
    <w:pPr>
      <w:ind w:firstLine="420" w:firstLineChars="200"/>
    </w:pPr>
  </w:style>
  <w:style w:type="character" w:customStyle="1" w:styleId="68">
    <w:name w:val="Document Map Char"/>
    <w:basedOn w:val="56"/>
    <w:link w:val="25"/>
    <w:qFormat/>
    <w:uiPriority w:val="0"/>
    <w:rPr>
      <w:rFonts w:ascii="宋体"/>
      <w:kern w:val="2"/>
      <w:sz w:val="18"/>
      <w:szCs w:val="18"/>
    </w:rPr>
  </w:style>
  <w:style w:type="character" w:customStyle="1" w:styleId="69">
    <w:name w:val="Heading 1 Char"/>
    <w:basedOn w:val="56"/>
    <w:link w:val="2"/>
    <w:qFormat/>
    <w:uiPriority w:val="0"/>
    <w:rPr>
      <w:b/>
      <w:bCs/>
      <w:kern w:val="44"/>
      <w:sz w:val="44"/>
      <w:szCs w:val="44"/>
    </w:rPr>
  </w:style>
  <w:style w:type="character" w:customStyle="1" w:styleId="70">
    <w:name w:val="Heading 2 Char"/>
    <w:basedOn w:val="56"/>
    <w:link w:val="3"/>
    <w:qFormat/>
    <w:uiPriority w:val="0"/>
    <w:rPr>
      <w:rFonts w:ascii="Arial" w:hAnsi="Arial" w:eastAsia="MS Mincho"/>
      <w:sz w:val="32"/>
      <w:szCs w:val="32"/>
      <w:lang w:val="en-GB"/>
    </w:rPr>
  </w:style>
  <w:style w:type="character" w:customStyle="1" w:styleId="71">
    <w:name w:val="Heading 3 Char"/>
    <w:basedOn w:val="56"/>
    <w:link w:val="4"/>
    <w:qFormat/>
    <w:uiPriority w:val="0"/>
    <w:rPr>
      <w:b/>
      <w:bCs/>
      <w:kern w:val="2"/>
      <w:sz w:val="32"/>
      <w:szCs w:val="32"/>
    </w:rPr>
  </w:style>
  <w:style w:type="character" w:customStyle="1" w:styleId="72">
    <w:name w:val="Heading 4 Char"/>
    <w:basedOn w:val="56"/>
    <w:link w:val="5"/>
    <w:qFormat/>
    <w:uiPriority w:val="0"/>
    <w:rPr>
      <w:rFonts w:ascii="Arial" w:hAnsi="Arial" w:eastAsia="黑体"/>
      <w:b/>
      <w:kern w:val="2"/>
      <w:sz w:val="28"/>
      <w:szCs w:val="24"/>
    </w:rPr>
  </w:style>
  <w:style w:type="character" w:customStyle="1" w:styleId="73">
    <w:name w:val="Heading 5 Char"/>
    <w:basedOn w:val="56"/>
    <w:link w:val="6"/>
    <w:qFormat/>
    <w:uiPriority w:val="0"/>
    <w:rPr>
      <w:b/>
      <w:kern w:val="2"/>
      <w:sz w:val="28"/>
      <w:szCs w:val="24"/>
    </w:rPr>
  </w:style>
  <w:style w:type="character" w:customStyle="1" w:styleId="74">
    <w:name w:val="Heading 6 Char"/>
    <w:basedOn w:val="56"/>
    <w:link w:val="7"/>
    <w:qFormat/>
    <w:uiPriority w:val="0"/>
    <w:rPr>
      <w:rFonts w:ascii="Arial" w:hAnsi="Arial" w:eastAsia="黑体"/>
      <w:b/>
      <w:kern w:val="2"/>
      <w:sz w:val="24"/>
      <w:szCs w:val="24"/>
    </w:rPr>
  </w:style>
  <w:style w:type="character" w:customStyle="1" w:styleId="75">
    <w:name w:val="Heading 7 Char"/>
    <w:basedOn w:val="56"/>
    <w:link w:val="8"/>
    <w:qFormat/>
    <w:uiPriority w:val="0"/>
    <w:rPr>
      <w:b/>
      <w:kern w:val="2"/>
      <w:sz w:val="24"/>
      <w:szCs w:val="24"/>
    </w:rPr>
  </w:style>
  <w:style w:type="character" w:customStyle="1" w:styleId="76">
    <w:name w:val="Heading 8 Char"/>
    <w:basedOn w:val="56"/>
    <w:link w:val="9"/>
    <w:qFormat/>
    <w:uiPriority w:val="0"/>
    <w:rPr>
      <w:rFonts w:ascii="Arial" w:hAnsi="Arial" w:eastAsia="黑体"/>
      <w:kern w:val="2"/>
      <w:sz w:val="24"/>
      <w:szCs w:val="24"/>
    </w:rPr>
  </w:style>
  <w:style w:type="character" w:customStyle="1" w:styleId="77">
    <w:name w:val="Heading 9 Char"/>
    <w:basedOn w:val="56"/>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6">
    <w:name w:val="Doc-title"/>
    <w:basedOn w:val="1"/>
    <w:next w:val="82"/>
    <w:link w:val="110"/>
    <w:qFormat/>
    <w:uiPriority w:val="0"/>
    <w:pPr>
      <w:widowControl/>
      <w:ind w:left="1260" w:hanging="1260"/>
      <w:jc w:val="left"/>
    </w:pPr>
    <w:rPr>
      <w:rFonts w:ascii="Arial" w:hAnsi="Arial" w:eastAsia="MS Mincho"/>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Caption Char"/>
    <w:link w:val="23"/>
    <w:qFormat/>
    <w:uiPriority w:val="99"/>
    <w:rPr>
      <w:rFonts w:ascii="Arial" w:hAnsi="Arial" w:eastAsia="黑体" w:cs="Arial"/>
      <w:kern w:val="2"/>
    </w:rPr>
  </w:style>
  <w:style w:type="character" w:customStyle="1" w:styleId="90">
    <w:name w:val="标题 3 Char Char"/>
    <w:basedOn w:val="56"/>
    <w:qFormat/>
    <w:uiPriority w:val="0"/>
    <w:rPr>
      <w:b/>
      <w:bCs/>
      <w:kern w:val="2"/>
      <w:sz w:val="32"/>
      <w:szCs w:val="32"/>
    </w:rPr>
  </w:style>
  <w:style w:type="character" w:customStyle="1" w:styleId="91">
    <w:name w:val="Comment Subject Char"/>
    <w:basedOn w:val="92"/>
    <w:link w:val="12"/>
    <w:semiHidden/>
    <w:qFormat/>
    <w:uiPriority w:val="0"/>
    <w:rPr>
      <w:rFonts w:ascii="Arial" w:hAnsi="Arial" w:eastAsia="MS Mincho"/>
      <w:b/>
      <w:bCs/>
      <w:lang w:val="en-GB" w:eastAsia="en-GB"/>
    </w:rPr>
  </w:style>
  <w:style w:type="character" w:customStyle="1" w:styleId="92">
    <w:name w:val="批注文字 Char"/>
    <w:basedOn w:val="56"/>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7"/>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6"/>
    <w:link w:val="44"/>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28"/>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6"/>
    <w:qFormat/>
    <w:uiPriority w:val="0"/>
    <w:rPr>
      <w:b/>
      <w:bCs/>
      <w:kern w:val="44"/>
      <w:sz w:val="44"/>
      <w:szCs w:val="44"/>
    </w:rPr>
  </w:style>
  <w:style w:type="character" w:customStyle="1" w:styleId="110">
    <w:name w:val="Doc-title Char Char"/>
    <w:basedOn w:val="56"/>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Footer Char"/>
    <w:link w:val="38"/>
    <w:qFormat/>
    <w:uiPriority w:val="99"/>
    <w:rPr>
      <w:kern w:val="2"/>
      <w:sz w:val="18"/>
      <w:szCs w:val="18"/>
    </w:rPr>
  </w:style>
  <w:style w:type="character" w:customStyle="1" w:styleId="113">
    <w:name w:val="占位符文本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4"/>
    <w:next w:val="44"/>
    <w:link w:val="114"/>
    <w:qFormat/>
    <w:uiPriority w:val="0"/>
  </w:style>
  <w:style w:type="character" w:customStyle="1" w:styleId="116">
    <w:name w:val="Plain Text Char"/>
    <w:basedOn w:val="56"/>
    <w:link w:val="32"/>
    <w:qFormat/>
    <w:uiPriority w:val="99"/>
    <w:rPr>
      <w:rFonts w:ascii="Consolas" w:hAnsi="Consolas" w:eastAsia="Calibri"/>
      <w:sz w:val="21"/>
      <w:szCs w:val="21"/>
      <w:lang w:eastAsia="en-US"/>
    </w:rPr>
  </w:style>
  <w:style w:type="character" w:customStyle="1" w:styleId="117">
    <w:name w:val="首示例 Char Char"/>
    <w:basedOn w:val="56"/>
    <w:link w:val="118"/>
    <w:qFormat/>
    <w:uiPriority w:val="0"/>
    <w:rPr>
      <w:rFonts w:ascii="宋体" w:hAnsi="宋体"/>
      <w:kern w:val="2"/>
      <w:sz w:val="18"/>
      <w:szCs w:val="18"/>
    </w:rPr>
  </w:style>
  <w:style w:type="paragraph" w:customStyle="1" w:styleId="118">
    <w:name w:val="首示例"/>
    <w:next w:val="44"/>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6"/>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Body Text Char"/>
    <w:basedOn w:val="56"/>
    <w:link w:val="27"/>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Header Char"/>
    <w:link w:val="39"/>
    <w:qFormat/>
    <w:uiPriority w:val="99"/>
    <w:rPr>
      <w:kern w:val="2"/>
      <w:sz w:val="18"/>
      <w:szCs w:val="18"/>
    </w:rPr>
  </w:style>
  <w:style w:type="character" w:customStyle="1" w:styleId="130">
    <w:name w:val="Doc-text2 Char Char"/>
    <w:basedOn w:val="56"/>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4"/>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4"/>
    <w:qFormat/>
    <w:uiPriority w:val="0"/>
    <w:pPr>
      <w:outlineLvl w:val="4"/>
    </w:pPr>
  </w:style>
  <w:style w:type="paragraph" w:customStyle="1" w:styleId="143">
    <w:name w:val="二级条标题"/>
    <w:basedOn w:val="144"/>
    <w:next w:val="44"/>
    <w:qFormat/>
    <w:uiPriority w:val="0"/>
    <w:pPr>
      <w:spacing w:beforeLines="0" w:afterLines="0"/>
      <w:outlineLvl w:val="3"/>
    </w:pPr>
  </w:style>
  <w:style w:type="paragraph" w:customStyle="1" w:styleId="144">
    <w:name w:val="一级条标题"/>
    <w:next w:val="44"/>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4"/>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4"/>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4"/>
    <w:qFormat/>
    <w:uiPriority w:val="0"/>
    <w:pPr>
      <w:outlineLvl w:val="5"/>
    </w:pPr>
  </w:style>
  <w:style w:type="character" w:customStyle="1" w:styleId="149">
    <w:name w:val="Footnote Text Char"/>
    <w:basedOn w:val="56"/>
    <w:link w:val="45"/>
    <w:qFormat/>
    <w:uiPriority w:val="0"/>
    <w:rPr>
      <w:rFonts w:ascii="宋体"/>
      <w:kern w:val="2"/>
      <w:sz w:val="18"/>
      <w:szCs w:val="18"/>
    </w:rPr>
  </w:style>
  <w:style w:type="paragraph" w:customStyle="1" w:styleId="150">
    <w:name w:val="章标题"/>
    <w:next w:val="44"/>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4"/>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4"/>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4"/>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4"/>
    <w:qFormat/>
    <w:uiPriority w:val="0"/>
    <w:pPr>
      <w:tabs>
        <w:tab w:val="left" w:pos="360"/>
        <w:tab w:val="left" w:pos="864"/>
        <w:tab w:val="left" w:pos="1008"/>
      </w:tabs>
      <w:outlineLvl w:val="5"/>
    </w:pPr>
  </w:style>
  <w:style w:type="paragraph" w:customStyle="1" w:styleId="156">
    <w:name w:val="附录三级条标题"/>
    <w:basedOn w:val="157"/>
    <w:next w:val="44"/>
    <w:qFormat/>
    <w:uiPriority w:val="0"/>
    <w:pPr>
      <w:tabs>
        <w:tab w:val="left" w:pos="360"/>
        <w:tab w:val="left" w:pos="864"/>
        <w:tab w:val="left" w:pos="1008"/>
      </w:tabs>
      <w:ind w:left="1008" w:hanging="1008"/>
      <w:outlineLvl w:val="4"/>
    </w:pPr>
  </w:style>
  <w:style w:type="paragraph" w:customStyle="1" w:styleId="157">
    <w:name w:val="附录二级条标题"/>
    <w:basedOn w:val="1"/>
    <w:next w:val="44"/>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6"/>
    <w:semiHidden/>
    <w:qFormat/>
    <w:uiPriority w:val="0"/>
    <w:rPr>
      <w:rFonts w:ascii="宋体" w:hAnsi="Courier New" w:cs="Courier New"/>
      <w:kern w:val="2"/>
      <w:sz w:val="21"/>
      <w:szCs w:val="21"/>
    </w:rPr>
  </w:style>
  <w:style w:type="paragraph" w:customStyle="1" w:styleId="162">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4"/>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Comment Text Char"/>
    <w:basedOn w:val="56"/>
    <w:link w:val="13"/>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56"/>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5"/>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4"/>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Endnote Text Char"/>
    <w:basedOn w:val="56"/>
    <w:link w:val="36"/>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4"/>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link w:val="27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200"/>
    <w:qFormat/>
    <w:uiPriority w:val="0"/>
    <w:rPr>
      <w:b/>
      <w:bCs/>
      <w:szCs w:val="18"/>
    </w:rPr>
  </w:style>
  <w:style w:type="paragraph" w:customStyle="1" w:styleId="200">
    <w:name w:val="TAC"/>
    <w:basedOn w:val="104"/>
    <w:qFormat/>
    <w:uiPriority w:val="0"/>
    <w:pPr>
      <w:jc w:val="center"/>
    </w:pPr>
    <w:rPr>
      <w:szCs w:val="20"/>
      <w:lang w:eastAsia="en-US"/>
    </w:rPr>
  </w:style>
  <w:style w:type="paragraph" w:customStyle="1" w:styleId="201">
    <w:name w:val="示例后文字"/>
    <w:basedOn w:val="44"/>
    <w:next w:val="44"/>
    <w:qFormat/>
    <w:uiPriority w:val="0"/>
    <w:pPr>
      <w:ind w:firstLine="360"/>
    </w:pPr>
    <w:rPr>
      <w:sz w:val="18"/>
    </w:rPr>
  </w:style>
  <w:style w:type="paragraph" w:customStyle="1" w:styleId="202">
    <w:name w:val="图标脚注说明"/>
    <w:basedOn w:val="44"/>
    <w:qFormat/>
    <w:uiPriority w:val="0"/>
    <w:pPr>
      <w:ind w:left="840" w:hanging="420" w:firstLineChars="0"/>
    </w:pPr>
    <w:rPr>
      <w:sz w:val="18"/>
      <w:szCs w:val="18"/>
    </w:rPr>
  </w:style>
  <w:style w:type="paragraph" w:customStyle="1" w:styleId="203">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4">
    <w:name w:val="图表脚注说明"/>
    <w:basedOn w:val="1"/>
    <w:qFormat/>
    <w:uiPriority w:val="0"/>
    <w:pPr>
      <w:tabs>
        <w:tab w:val="left" w:pos="360"/>
      </w:tabs>
      <w:ind w:left="360" w:hanging="360"/>
    </w:pPr>
    <w:rPr>
      <w:rFonts w:ascii="宋体"/>
      <w:sz w:val="18"/>
      <w:szCs w:val="18"/>
    </w:rPr>
  </w:style>
  <w:style w:type="paragraph" w:customStyle="1" w:styleId="205">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6">
    <w:name w:val="参考文献"/>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7">
    <w:name w:val="正文图标题"/>
    <w:next w:val="44"/>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08">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9">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0">
    <w:name w:val="其他实施日期"/>
    <w:basedOn w:val="164"/>
    <w:qFormat/>
    <w:uiPriority w:val="0"/>
  </w:style>
  <w:style w:type="paragraph" w:customStyle="1" w:styleId="211">
    <w:name w:val="附录标识"/>
    <w:basedOn w:val="1"/>
    <w:next w:val="44"/>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2">
    <w:name w:val="四级无"/>
    <w:basedOn w:val="148"/>
    <w:qFormat/>
    <w:uiPriority w:val="0"/>
    <w:rPr>
      <w:rFonts w:ascii="宋体" w:eastAsia="宋体"/>
    </w:rPr>
  </w:style>
  <w:style w:type="paragraph" w:customStyle="1" w:styleId="213">
    <w:name w:val="示例×："/>
    <w:basedOn w:val="150"/>
    <w:qFormat/>
    <w:uiPriority w:val="0"/>
    <w:pPr>
      <w:spacing w:beforeLines="0" w:afterLines="0"/>
      <w:ind w:firstLine="397"/>
      <w:outlineLvl w:val="9"/>
    </w:pPr>
    <w:rPr>
      <w:rFonts w:ascii="宋体" w:eastAsia="宋体"/>
      <w:sz w:val="18"/>
      <w:szCs w:val="18"/>
    </w:rPr>
  </w:style>
  <w:style w:type="paragraph" w:customStyle="1" w:styleId="214">
    <w:name w:val="EmailDiscussion2"/>
    <w:basedOn w:val="82"/>
    <w:qFormat/>
    <w:uiPriority w:val="0"/>
  </w:style>
  <w:style w:type="paragraph" w:customStyle="1" w:styleId="215">
    <w:name w:val="B5"/>
    <w:basedOn w:val="47"/>
    <w:qFormat/>
    <w:uiPriority w:val="0"/>
  </w:style>
  <w:style w:type="paragraph" w:customStyle="1" w:styleId="216">
    <w:name w:val="其他发布日期"/>
    <w:basedOn w:val="165"/>
    <w:qFormat/>
    <w:uiPriority w:val="0"/>
  </w:style>
  <w:style w:type="paragraph" w:customStyle="1" w:styleId="217">
    <w:name w:val="B4"/>
    <w:basedOn w:val="48"/>
    <w:link w:val="274"/>
    <w:qFormat/>
    <w:uiPriority w:val="0"/>
  </w:style>
  <w:style w:type="paragraph" w:customStyle="1" w:styleId="218">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9">
    <w:name w:val="Review-comment2"/>
    <w:basedOn w:val="159"/>
    <w:qFormat/>
    <w:uiPriority w:val="0"/>
    <w:rPr>
      <w:color w:val="0070C0"/>
    </w:rPr>
  </w:style>
  <w:style w:type="paragraph" w:customStyle="1" w:styleId="220">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1">
    <w:name w:val="附录表标号"/>
    <w:basedOn w:val="1"/>
    <w:next w:val="44"/>
    <w:qFormat/>
    <w:uiPriority w:val="0"/>
    <w:pPr>
      <w:spacing w:line="14" w:lineRule="exact"/>
      <w:ind w:left="811" w:hanging="448"/>
      <w:jc w:val="center"/>
      <w:outlineLvl w:val="0"/>
    </w:pPr>
    <w:rPr>
      <w:color w:val="FFFFFF"/>
    </w:rPr>
  </w:style>
  <w:style w:type="paragraph" w:customStyle="1" w:styleId="222">
    <w:name w:val="附录图标题"/>
    <w:basedOn w:val="1"/>
    <w:next w:val="44"/>
    <w:qFormat/>
    <w:uiPriority w:val="0"/>
    <w:pPr>
      <w:tabs>
        <w:tab w:val="left" w:pos="363"/>
      </w:tabs>
      <w:spacing w:beforeLines="50" w:afterLines="50"/>
      <w:jc w:val="center"/>
    </w:pPr>
    <w:rPr>
      <w:rFonts w:ascii="黑体" w:eastAsia="黑体"/>
      <w:szCs w:val="21"/>
    </w:rPr>
  </w:style>
  <w:style w:type="paragraph" w:customStyle="1" w:styleId="223">
    <w:name w:val="附录标题"/>
    <w:basedOn w:val="44"/>
    <w:next w:val="44"/>
    <w:qFormat/>
    <w:uiPriority w:val="0"/>
    <w:pPr>
      <w:ind w:firstLine="0" w:firstLineChars="0"/>
      <w:jc w:val="center"/>
    </w:pPr>
    <w:rPr>
      <w:rFonts w:ascii="黑体" w:eastAsia="黑体"/>
    </w:rPr>
  </w:style>
  <w:style w:type="paragraph" w:customStyle="1" w:styleId="224">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8"/>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4"/>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8"/>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4"/>
    <w:next w:val="44"/>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8"/>
    <w:qFormat/>
    <w:uiPriority w:val="0"/>
    <w:pPr>
      <w:keepNext/>
      <w:spacing w:after="0"/>
    </w:pPr>
    <w:rPr>
      <w:rFonts w:ascii="Arial" w:hAnsi="Arial"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4"/>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修订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4"/>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5"/>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6"/>
    <w:qFormat/>
    <w:uiPriority w:val="0"/>
    <w:rPr>
      <w:lang w:val="en-GB"/>
    </w:rPr>
  </w:style>
  <w:style w:type="character" w:customStyle="1" w:styleId="274">
    <w:name w:val="B4 Char"/>
    <w:link w:val="217"/>
    <w:qFormat/>
    <w:uiPriority w:val="0"/>
    <w:rPr>
      <w:rFonts w:eastAsia="MS Mincho"/>
      <w:lang w:val="en-GB" w:eastAsia="en-US"/>
    </w:rPr>
  </w:style>
  <w:style w:type="paragraph" w:customStyle="1" w:styleId="275">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apple-converted-space"/>
    <w:basedOn w:val="56"/>
    <w:qFormat/>
    <w:uiPriority w:val="0"/>
  </w:style>
  <w:style w:type="character" w:customStyle="1" w:styleId="278">
    <w:name w:val="TF Char"/>
    <w:link w:val="197"/>
    <w:qFormat/>
    <w:uiPriority w:val="0"/>
    <w:rPr>
      <w:rFonts w:ascii="Arial" w:hAnsi="Arial" w:eastAsia="MS Mincho"/>
      <w:b/>
      <w:lang w:val="en-GB" w:eastAsia="en-US"/>
    </w:rPr>
  </w:style>
  <w:style w:type="character" w:customStyle="1" w:styleId="279">
    <w:name w:val="Guidance Char"/>
    <w:link w:val="275"/>
    <w:qFormat/>
    <w:uiPriority w:val="0"/>
    <w:rPr>
      <w:i/>
      <w:color w:val="0000FF"/>
      <w:lang w:val="en-GB" w:eastAsia="en-US"/>
    </w:rPr>
  </w:style>
  <w:style w:type="paragraph" w:customStyle="1" w:styleId="280">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281">
    <w:name w:val="标题 41"/>
    <w:basedOn w:val="1"/>
    <w:next w:val="280"/>
    <w:qFormat/>
    <w:uiPriority w:val="0"/>
    <w:pPr>
      <w:keepNext/>
      <w:keepLines/>
      <w:overflowPunct w:val="0"/>
      <w:autoSpaceDE w:val="0"/>
      <w:autoSpaceDN w:val="0"/>
      <w:adjustRightInd w:val="0"/>
      <w:spacing w:before="120" w:after="180"/>
      <w:ind w:left="1418" w:hanging="1418"/>
      <w:jc w:val="left"/>
      <w:textAlignment w:val="baseline"/>
      <w:outlineLvl w:val="3"/>
    </w:pPr>
    <w:rPr>
      <w:rFonts w:ascii="Arial" w:hAnsi="Arial" w:eastAsia="宋体" w:cs="Arial"/>
      <w:kern w:val="0"/>
      <w:sz w:val="24"/>
    </w:rPr>
  </w:style>
  <w:style w:type="paragraph" w:customStyle="1" w:styleId="282">
    <w:name w:val="标题 51"/>
    <w:basedOn w:val="281"/>
    <w:next w:val="280"/>
    <w:qFormat/>
    <w:uiPriority w:val="0"/>
    <w:pPr>
      <w:ind w:left="1701" w:hanging="1701"/>
      <w:outlineLvl w:val="4"/>
    </w:pPr>
    <w:rPr>
      <w:sz w:val="22"/>
      <w:szCs w:val="22"/>
    </w:rPr>
  </w:style>
  <w:style w:type="paragraph" w:customStyle="1" w:styleId="283">
    <w:name w:val="List Paragraph2"/>
    <w:basedOn w:val="1"/>
    <w:qFormat/>
    <w:uiPriority w:val="0"/>
    <w:pPr>
      <w:widowControl/>
      <w:spacing w:after="200" w:line="276" w:lineRule="auto"/>
      <w:ind w:left="720"/>
      <w:contextualSpacing/>
      <w:jc w:val="left"/>
    </w:pPr>
    <w:rPr>
      <w:rFonts w:ascii="Calibri" w:hAnsi="Calibri" w:eastAsia="Calibri"/>
      <w:kern w:val="0"/>
      <w:sz w:val="22"/>
      <w:szCs w:val="22"/>
      <w:lang w:eastAsia="en-US"/>
    </w:rPr>
  </w:style>
  <w:style w:type="paragraph" w:customStyle="1" w:styleId="284">
    <w:name w:val="text"/>
    <w:basedOn w:val="1"/>
    <w:qFormat/>
    <w:uiPriority w:val="0"/>
    <w:pPr>
      <w:spacing w:after="240"/>
    </w:pPr>
    <w:rPr>
      <w:rFonts w:ascii="Calibri" w:hAnsi="Calibri" w:eastAsia="宋体"/>
      <w:sz w:val="24"/>
      <w:szCs w:val="20"/>
    </w:rPr>
  </w:style>
  <w:style w:type="character" w:customStyle="1" w:styleId="285">
    <w:name w:val="15"/>
    <w:basedOn w:val="56"/>
    <w:qFormat/>
    <w:uiPriority w:val="0"/>
    <w:rPr>
      <w:rFonts w:hint="default" w:ascii="Century" w:hAnsi="Century" w:eastAsia="Century" w:cs="Century"/>
    </w:rPr>
  </w:style>
  <w:style w:type="character" w:customStyle="1" w:styleId="286">
    <w:name w:val="10"/>
    <w:basedOn w:val="56"/>
    <w:qFormat/>
    <w:uiPriority w:val="0"/>
    <w:rPr>
      <w:rFonts w:hint="default" w:ascii="Century" w:hAnsi="Century" w:eastAsia="Century" w:cs="Century"/>
    </w:rPr>
  </w:style>
  <w:style w:type="paragraph" w:styleId="287">
    <w:name w:val="List Paragraph"/>
    <w:basedOn w:val="1"/>
    <w:qFormat/>
    <w:uiPriority w:val="34"/>
    <w:pPr>
      <w:widowControl/>
      <w:spacing w:after="200" w:line="276" w:lineRule="auto"/>
      <w:ind w:left="720"/>
      <w:contextualSpacing/>
      <w:jc w:val="left"/>
    </w:pPr>
    <w:rPr>
      <w:rFonts w:ascii="Calibri" w:hAnsi="Calibri" w:eastAsia="Calibri"/>
      <w:kern w:val="0"/>
      <w:sz w:val="22"/>
      <w:szCs w:val="22"/>
      <w:lang w:eastAsia="en-US"/>
    </w:rPr>
  </w:style>
  <w:style w:type="paragraph" w:customStyle="1" w:styleId="288">
    <w:name w:val="Paragraphe de liste1"/>
    <w:basedOn w:val="1"/>
    <w:qFormat/>
    <w:uiPriority w:val="34"/>
    <w:pPr>
      <w:spacing w:after="200" w:line="276" w:lineRule="auto"/>
      <w:ind w:left="720"/>
      <w:contextualSpacing/>
    </w:pPr>
    <w:rPr>
      <w:rFonts w:ascii="Calibri" w:hAnsi="Calibri" w:eastAsia="Calibri" w:cs="Times New Roman"/>
      <w:sz w:val="22"/>
      <w:szCs w:val="22"/>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FF3C2E-0918-4837-8284-705B9CF4CF35}">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9</Pages>
  <Words>2456</Words>
  <Characters>14001</Characters>
  <Lines>116</Lines>
  <Paragraphs>32</Paragraphs>
  <TotalTime>3</TotalTime>
  <ScaleCrop>false</ScaleCrop>
  <LinksUpToDate>false</LinksUpToDate>
  <CharactersWithSpaces>16425</CharactersWithSpaces>
  <Application>WPS Office_10.1.0.7578_F1E327BC-269C-435d-A152-05C5408002CA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2017-09-22T11:22:00Z</dcterms:created>
  <dc:creator>10033860</dc:creator>
  <cp:lastModifiedBy>ZTE(Yuan)</cp:lastModifiedBy>
  <cp:lastPrinted>2113-01-01T00:00:00Z</cp:lastPrinted>
  <dcterms:modified xsi:type="dcterms:W3CDTF">2018-11-01T16:08:19Z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2052-10.1.0.7578</vt:lpwstr>
  </property>
</Properties>
</file>